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8A2E9F">
        <w:rPr>
          <w:color w:val="000000" w:themeColor="text1"/>
          <w:szCs w:val="28"/>
        </w:rPr>
        <w:t>06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711185" w:rsidRPr="00346E28" w:rsidRDefault="00711185" w:rsidP="00711185">
      <w:pPr>
        <w:spacing w:line="259" w:lineRule="auto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Про виділення додаткових коштів </w:t>
      </w:r>
    </w:p>
    <w:p w:rsidR="00711185" w:rsidRPr="00346E28" w:rsidRDefault="00711185" w:rsidP="00711185">
      <w:pPr>
        <w:spacing w:line="259" w:lineRule="auto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на фінансування «Програми розвитку </w:t>
      </w:r>
    </w:p>
    <w:p w:rsidR="00711185" w:rsidRPr="00346E28" w:rsidRDefault="00711185" w:rsidP="00711185">
      <w:pPr>
        <w:spacing w:line="259" w:lineRule="auto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 xml:space="preserve">цивільного захисту </w:t>
      </w:r>
      <w:proofErr w:type="spellStart"/>
      <w:r w:rsidRPr="00346E28">
        <w:rPr>
          <w:color w:val="000000" w:themeColor="text1"/>
          <w:sz w:val="28"/>
          <w:szCs w:val="28"/>
        </w:rPr>
        <w:t>Козелецької</w:t>
      </w:r>
      <w:proofErr w:type="spellEnd"/>
      <w:r w:rsidRPr="00346E28">
        <w:rPr>
          <w:color w:val="000000" w:themeColor="text1"/>
          <w:sz w:val="28"/>
          <w:szCs w:val="28"/>
        </w:rPr>
        <w:t xml:space="preserve"> селищної </w:t>
      </w:r>
    </w:p>
    <w:p w:rsidR="00711185" w:rsidRPr="00346E28" w:rsidRDefault="00711185" w:rsidP="00711185">
      <w:pPr>
        <w:spacing w:line="259" w:lineRule="auto"/>
        <w:rPr>
          <w:i/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ради на 2021-2027 роки»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E567A1">
        <w:rPr>
          <w:color w:val="000000" w:themeColor="text1"/>
          <w:sz w:val="28"/>
          <w:szCs w:val="28"/>
        </w:rPr>
        <w:t xml:space="preserve"> постановою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>ст. 28 Закону України «Про місцеве самоврядування в Україні</w:t>
      </w:r>
      <w:r w:rsidR="00E567A1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DF427A" w:rsidRPr="00A23D5B" w:rsidRDefault="00DF427A" w:rsidP="00DF427A">
      <w:pPr>
        <w:ind w:firstLine="708"/>
        <w:jc w:val="both"/>
        <w:rPr>
          <w:color w:val="000000" w:themeColor="text1"/>
          <w:sz w:val="28"/>
          <w:szCs w:val="28"/>
        </w:rPr>
      </w:pPr>
      <w:r w:rsidRPr="00A23D5B">
        <w:rPr>
          <w:color w:val="000000" w:themeColor="text1"/>
          <w:sz w:val="28"/>
          <w:szCs w:val="28"/>
        </w:rPr>
        <w:t xml:space="preserve">1. </w:t>
      </w:r>
      <w:r w:rsidR="005D6C5F" w:rsidRPr="00A23D5B">
        <w:rPr>
          <w:color w:val="000000" w:themeColor="text1"/>
          <w:sz w:val="28"/>
          <w:szCs w:val="28"/>
        </w:rPr>
        <w:t xml:space="preserve">На фінансування  «Програми розвитку цивільного захисту </w:t>
      </w:r>
      <w:proofErr w:type="spellStart"/>
      <w:r w:rsidR="005D6C5F" w:rsidRPr="00A23D5B">
        <w:rPr>
          <w:color w:val="000000" w:themeColor="text1"/>
          <w:sz w:val="28"/>
          <w:szCs w:val="28"/>
        </w:rPr>
        <w:t>Козелецької</w:t>
      </w:r>
      <w:proofErr w:type="spellEnd"/>
      <w:r w:rsidR="005D6C5F" w:rsidRPr="00A23D5B">
        <w:rPr>
          <w:color w:val="000000" w:themeColor="text1"/>
          <w:sz w:val="28"/>
          <w:szCs w:val="28"/>
        </w:rPr>
        <w:t xml:space="preserve"> селищної ради на 2021-2027 роки»</w:t>
      </w:r>
      <w:r w:rsidR="005D6C5F" w:rsidRPr="00A23D5B">
        <w:rPr>
          <w:bCs/>
          <w:color w:val="000000" w:themeColor="text1"/>
          <w:sz w:val="28"/>
          <w:szCs w:val="28"/>
          <w:lang w:eastAsia="uk-UA"/>
        </w:rPr>
        <w:t xml:space="preserve"> в</w:t>
      </w:r>
      <w:r w:rsidR="005D6C5F" w:rsidRPr="00A23D5B">
        <w:rPr>
          <w:color w:val="000000" w:themeColor="text1"/>
          <w:sz w:val="28"/>
          <w:szCs w:val="28"/>
        </w:rPr>
        <w:t xml:space="preserve">иділити кошти селищного бюджету в сумі </w:t>
      </w:r>
      <w:r w:rsidR="005D6C5F" w:rsidRPr="0072293F">
        <w:rPr>
          <w:b/>
          <w:color w:val="000000" w:themeColor="text1"/>
          <w:sz w:val="28"/>
          <w:szCs w:val="28"/>
        </w:rPr>
        <w:t>2</w:t>
      </w:r>
      <w:r w:rsidR="007720E9">
        <w:rPr>
          <w:b/>
          <w:color w:val="000000" w:themeColor="text1"/>
          <w:sz w:val="28"/>
          <w:szCs w:val="28"/>
        </w:rPr>
        <w:t>9</w:t>
      </w:r>
      <w:r w:rsidR="005D6C5F" w:rsidRPr="0072293F">
        <w:rPr>
          <w:b/>
          <w:color w:val="000000" w:themeColor="text1"/>
          <w:sz w:val="28"/>
          <w:szCs w:val="28"/>
        </w:rPr>
        <w:t>99305,24</w:t>
      </w:r>
      <w:r w:rsidR="005A28DE">
        <w:rPr>
          <w:color w:val="000000" w:themeColor="text1"/>
          <w:sz w:val="28"/>
          <w:szCs w:val="28"/>
        </w:rPr>
        <w:t xml:space="preserve"> грн.:</w:t>
      </w:r>
    </w:p>
    <w:p w:rsidR="007720E9" w:rsidRDefault="007720E9" w:rsidP="007720E9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</w:t>
      </w:r>
      <w:r w:rsidR="00E069E4" w:rsidRPr="00A23D5B">
        <w:rPr>
          <w:color w:val="000000" w:themeColor="text1"/>
          <w:sz w:val="28"/>
          <w:szCs w:val="28"/>
        </w:rPr>
        <w:t xml:space="preserve">. </w:t>
      </w:r>
      <w:r>
        <w:rPr>
          <w:rFonts w:eastAsia="Calibri"/>
          <w:color w:val="000000" w:themeColor="text1"/>
          <w:sz w:val="28"/>
          <w:szCs w:val="28"/>
        </w:rPr>
        <w:t xml:space="preserve">На придбання захисного модуля ЗМ-100 місткістю 120 осіб для облаштування найпростішого укриття в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Сираївському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ліцеї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Козелецької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селищної ради за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адресою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: Чернігівська обл., Чернігівський р-н., с.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Сираї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, вул. Шкільна, 1. – </w:t>
      </w:r>
      <w:r w:rsidRPr="00CD65CB">
        <w:rPr>
          <w:rFonts w:eastAsia="Calibri"/>
          <w:b/>
          <w:color w:val="000000" w:themeColor="text1"/>
          <w:sz w:val="28"/>
          <w:szCs w:val="28"/>
        </w:rPr>
        <w:t>2800000,00</w:t>
      </w:r>
      <w:r>
        <w:rPr>
          <w:rFonts w:eastAsia="Calibri"/>
          <w:color w:val="000000" w:themeColor="text1"/>
          <w:sz w:val="28"/>
          <w:szCs w:val="28"/>
        </w:rPr>
        <w:t xml:space="preserve"> грн. в тому числі:</w:t>
      </w:r>
    </w:p>
    <w:p w:rsidR="007720E9" w:rsidRDefault="007720E9" w:rsidP="007720E9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за рахунок </w:t>
      </w:r>
      <w:r w:rsidRPr="00A23D5B">
        <w:rPr>
          <w:color w:val="000000" w:themeColor="text1"/>
          <w:sz w:val="28"/>
          <w:szCs w:val="28"/>
        </w:rPr>
        <w:t>залишку коштів, що склалися станом на 01.01.2023 року по загальному фонду селищного бюджету</w:t>
      </w:r>
      <w:r>
        <w:rPr>
          <w:rFonts w:eastAsia="Calibri"/>
          <w:color w:val="000000" w:themeColor="text1"/>
          <w:sz w:val="28"/>
          <w:szCs w:val="28"/>
        </w:rPr>
        <w:t xml:space="preserve">  </w:t>
      </w:r>
      <w:r w:rsidRPr="00CD65CB">
        <w:rPr>
          <w:rFonts w:eastAsia="Calibri"/>
          <w:b/>
          <w:color w:val="000000" w:themeColor="text1"/>
          <w:sz w:val="28"/>
          <w:szCs w:val="28"/>
        </w:rPr>
        <w:t>2300000,00</w:t>
      </w:r>
      <w:r>
        <w:rPr>
          <w:rFonts w:eastAsia="Calibri"/>
          <w:color w:val="000000" w:themeColor="text1"/>
          <w:sz w:val="28"/>
          <w:szCs w:val="28"/>
        </w:rPr>
        <w:t xml:space="preserve"> грн. по</w:t>
      </w:r>
      <w:r w:rsidRPr="007720E9">
        <w:rPr>
          <w:color w:val="000000" w:themeColor="text1"/>
          <w:sz w:val="28"/>
          <w:szCs w:val="28"/>
        </w:rPr>
        <w:t xml:space="preserve"> </w:t>
      </w:r>
      <w:r w:rsidRPr="00A23D5B">
        <w:rPr>
          <w:color w:val="000000" w:themeColor="text1"/>
          <w:sz w:val="28"/>
          <w:szCs w:val="28"/>
        </w:rPr>
        <w:t>ТПВКМБ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ситуацій та нас</w:t>
      </w:r>
      <w:r>
        <w:rPr>
          <w:rFonts w:eastAsia="Calibri"/>
          <w:color w:val="000000" w:themeColor="text1"/>
          <w:sz w:val="28"/>
          <w:szCs w:val="28"/>
        </w:rPr>
        <w:t>лідків стихійного лиха» КЕКВ 221</w:t>
      </w:r>
      <w:r w:rsidRPr="00A23D5B">
        <w:rPr>
          <w:rFonts w:eastAsia="Calibri"/>
          <w:color w:val="000000" w:themeColor="text1"/>
          <w:sz w:val="28"/>
          <w:szCs w:val="28"/>
        </w:rPr>
        <w:t>0 «</w:t>
      </w:r>
      <w:r>
        <w:rPr>
          <w:rFonts w:eastAsia="Calibri"/>
          <w:color w:val="000000" w:themeColor="text1"/>
          <w:sz w:val="28"/>
          <w:szCs w:val="28"/>
        </w:rPr>
        <w:t xml:space="preserve">Предмети, матеріали, обладнання та інвентар» 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згідно коду 602100 </w:t>
      </w:r>
      <w:r w:rsidRPr="00A23D5B">
        <w:rPr>
          <w:color w:val="000000" w:themeColor="text1"/>
          <w:sz w:val="28"/>
          <w:szCs w:val="28"/>
        </w:rPr>
        <w:t>«На початок періоду»</w:t>
      </w:r>
      <w:r>
        <w:rPr>
          <w:rFonts w:eastAsia="Calibri"/>
          <w:color w:val="000000" w:themeColor="text1"/>
          <w:sz w:val="28"/>
          <w:szCs w:val="28"/>
        </w:rPr>
        <w:t>;</w:t>
      </w:r>
    </w:p>
    <w:p w:rsidR="007720E9" w:rsidRPr="00A23D5B" w:rsidRDefault="007720E9" w:rsidP="007720E9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за рахунок  залишку спеціального фонду бюджету розвитку  </w:t>
      </w:r>
      <w:r w:rsidRPr="00CD65CB">
        <w:rPr>
          <w:rFonts w:eastAsia="Calibri"/>
          <w:b/>
          <w:color w:val="000000" w:themeColor="text1"/>
          <w:sz w:val="28"/>
          <w:szCs w:val="28"/>
        </w:rPr>
        <w:t>500000,00</w:t>
      </w:r>
      <w:r>
        <w:rPr>
          <w:rFonts w:eastAsia="Calibri"/>
          <w:color w:val="000000" w:themeColor="text1"/>
          <w:sz w:val="28"/>
          <w:szCs w:val="28"/>
        </w:rPr>
        <w:t xml:space="preserve"> грн. по </w:t>
      </w:r>
      <w:r w:rsidRPr="00A23D5B">
        <w:rPr>
          <w:color w:val="000000" w:themeColor="text1"/>
          <w:sz w:val="28"/>
          <w:szCs w:val="28"/>
        </w:rPr>
        <w:t>ТПВКМБ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</w:t>
      </w:r>
      <w:r w:rsidRPr="00A23D5B">
        <w:rPr>
          <w:rFonts w:eastAsia="Calibri"/>
          <w:color w:val="000000" w:themeColor="text1"/>
          <w:sz w:val="28"/>
          <w:szCs w:val="28"/>
        </w:rPr>
        <w:lastRenderedPageBreak/>
        <w:t>ситуацій та наслідків стихійного лиха» КЕКВ 3110 «Придбання обладнання і предметів довгострокового користування»</w:t>
      </w:r>
      <w:r>
        <w:rPr>
          <w:rFonts w:eastAsia="Calibri"/>
          <w:color w:val="000000" w:themeColor="text1"/>
          <w:sz w:val="28"/>
          <w:szCs w:val="28"/>
        </w:rPr>
        <w:t xml:space="preserve"> згідно  коду 602100 </w:t>
      </w:r>
      <w:r w:rsidRPr="00A23D5B">
        <w:rPr>
          <w:color w:val="000000" w:themeColor="text1"/>
          <w:sz w:val="28"/>
          <w:szCs w:val="28"/>
        </w:rPr>
        <w:t>«На початок періоду»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A23D5B" w:rsidRDefault="00CD65CB" w:rsidP="006712DF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1.2.</w:t>
      </w:r>
      <w:r w:rsidR="00A23D5B" w:rsidRPr="00A23D5B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Зменшити загальний фонд</w:t>
      </w:r>
      <w:r w:rsidR="00E069E4" w:rsidRPr="00A23D5B">
        <w:rPr>
          <w:rFonts w:eastAsia="Calibri"/>
          <w:color w:val="000000" w:themeColor="text1"/>
          <w:sz w:val="28"/>
          <w:szCs w:val="28"/>
        </w:rPr>
        <w:t xml:space="preserve"> </w:t>
      </w:r>
      <w:r w:rsidR="00E069E4" w:rsidRPr="00A23D5B">
        <w:rPr>
          <w:color w:val="000000" w:themeColor="text1"/>
          <w:sz w:val="28"/>
          <w:szCs w:val="28"/>
        </w:rPr>
        <w:t>ТПВКМБ</w:t>
      </w:r>
      <w:r w:rsidR="00E069E4"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ситуацій </w:t>
      </w:r>
      <w:r w:rsidR="00E069E4">
        <w:rPr>
          <w:rFonts w:eastAsia="Calibri"/>
          <w:color w:val="000000" w:themeColor="text1"/>
          <w:sz w:val="28"/>
          <w:szCs w:val="28"/>
        </w:rPr>
        <w:t xml:space="preserve">та наслідків стихійного лиха» </w:t>
      </w:r>
      <w:r>
        <w:rPr>
          <w:rFonts w:eastAsia="Calibri"/>
          <w:color w:val="000000" w:themeColor="text1"/>
          <w:sz w:val="28"/>
          <w:szCs w:val="28"/>
        </w:rPr>
        <w:t>КЕКВ 221</w:t>
      </w:r>
      <w:r w:rsidRPr="00A23D5B">
        <w:rPr>
          <w:rFonts w:eastAsia="Calibri"/>
          <w:color w:val="000000" w:themeColor="text1"/>
          <w:sz w:val="28"/>
          <w:szCs w:val="28"/>
        </w:rPr>
        <w:t>0 «</w:t>
      </w:r>
      <w:r>
        <w:rPr>
          <w:rFonts w:eastAsia="Calibri"/>
          <w:color w:val="000000" w:themeColor="text1"/>
          <w:sz w:val="28"/>
          <w:szCs w:val="28"/>
        </w:rPr>
        <w:t xml:space="preserve">Предмети, матеріали, обладнання та інвентар» </w:t>
      </w:r>
      <w:r w:rsidR="00E069E4" w:rsidRPr="0082237F">
        <w:rPr>
          <w:rFonts w:eastAsia="Calibri"/>
          <w:color w:val="000000" w:themeColor="text1"/>
          <w:sz w:val="28"/>
          <w:szCs w:val="28"/>
        </w:rPr>
        <w:t xml:space="preserve">на суму  </w:t>
      </w:r>
      <w:r w:rsidR="00E069E4" w:rsidRPr="0072293F">
        <w:rPr>
          <w:rFonts w:eastAsia="Calibri"/>
          <w:b/>
          <w:color w:val="000000" w:themeColor="text1"/>
          <w:sz w:val="28"/>
          <w:szCs w:val="28"/>
        </w:rPr>
        <w:t>2300000,00</w:t>
      </w:r>
      <w:r w:rsidR="00E069E4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E069E4">
        <w:rPr>
          <w:rFonts w:eastAsia="Calibri"/>
          <w:color w:val="000000" w:themeColor="text1"/>
          <w:sz w:val="28"/>
          <w:szCs w:val="28"/>
        </w:rPr>
        <w:t>. (</w:t>
      </w:r>
      <w:r w:rsidR="00A23D5B">
        <w:rPr>
          <w:rFonts w:eastAsia="Calibri"/>
          <w:color w:val="000000" w:themeColor="text1"/>
          <w:sz w:val="28"/>
          <w:szCs w:val="28"/>
        </w:rPr>
        <w:t>за</w:t>
      </w:r>
      <w:r w:rsidR="00E069E4">
        <w:rPr>
          <w:rFonts w:eastAsia="Calibri"/>
          <w:color w:val="000000" w:themeColor="text1"/>
          <w:sz w:val="28"/>
          <w:szCs w:val="28"/>
        </w:rPr>
        <w:t xml:space="preserve"> код</w:t>
      </w:r>
      <w:r w:rsidR="00A23D5B">
        <w:rPr>
          <w:rFonts w:eastAsia="Calibri"/>
          <w:color w:val="000000" w:themeColor="text1"/>
          <w:sz w:val="28"/>
          <w:szCs w:val="28"/>
        </w:rPr>
        <w:t>ом</w:t>
      </w:r>
      <w:r w:rsidR="00E069E4">
        <w:rPr>
          <w:rFonts w:eastAsia="Calibri"/>
          <w:color w:val="000000" w:themeColor="text1"/>
          <w:sz w:val="28"/>
          <w:szCs w:val="28"/>
        </w:rPr>
        <w:t xml:space="preserve"> 602400</w:t>
      </w:r>
      <w:r w:rsidR="00A23D5B">
        <w:rPr>
          <w:rFonts w:eastAsia="Calibri"/>
          <w:color w:val="000000" w:themeColor="text1"/>
          <w:sz w:val="28"/>
          <w:szCs w:val="28"/>
        </w:rPr>
        <w:t xml:space="preserve"> «Кошти, що передаються із загального фонду бюджету до бюджету розвитку (спеціального фонду)»);</w:t>
      </w:r>
    </w:p>
    <w:p w:rsidR="00CD65CB" w:rsidRPr="00A23D5B" w:rsidRDefault="00CD65CB" w:rsidP="00CD65CB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1.3.</w:t>
      </w:r>
      <w:r w:rsidRPr="00CD65CB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Для виготовлення кошторисної документації та проведення поточного ремонту найпростішого укриття </w:t>
      </w:r>
      <w:proofErr w:type="spellStart"/>
      <w:r>
        <w:rPr>
          <w:rFonts w:eastAsia="Calibri"/>
          <w:color w:val="000000" w:themeColor="text1"/>
          <w:sz w:val="28"/>
          <w:szCs w:val="28"/>
        </w:rPr>
        <w:t>Скрипчинської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філії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Козелецького</w:t>
      </w:r>
      <w:proofErr w:type="spellEnd"/>
      <w:r>
        <w:rPr>
          <w:rFonts w:eastAsia="Calibri"/>
          <w:color w:val="000000" w:themeColor="text1"/>
          <w:sz w:val="28"/>
          <w:szCs w:val="28"/>
        </w:rPr>
        <w:t xml:space="preserve"> ліцею №3, за </w:t>
      </w:r>
      <w:proofErr w:type="spellStart"/>
      <w:r>
        <w:rPr>
          <w:rFonts w:eastAsia="Calibri"/>
          <w:color w:val="000000" w:themeColor="text1"/>
          <w:sz w:val="28"/>
          <w:szCs w:val="28"/>
        </w:rPr>
        <w:t>адресою</w:t>
      </w:r>
      <w:proofErr w:type="spellEnd"/>
      <w:r>
        <w:rPr>
          <w:rFonts w:eastAsia="Calibri"/>
          <w:color w:val="000000" w:themeColor="text1"/>
          <w:sz w:val="28"/>
          <w:szCs w:val="28"/>
        </w:rPr>
        <w:t>: Чернігівська обл., Чернігівський р-н.</w:t>
      </w:r>
      <w:r w:rsidR="00970F23">
        <w:rPr>
          <w:rFonts w:eastAsia="Calibri"/>
          <w:color w:val="000000" w:themeColor="text1"/>
          <w:sz w:val="28"/>
          <w:szCs w:val="28"/>
        </w:rPr>
        <w:t xml:space="preserve">, с. </w:t>
      </w:r>
      <w:proofErr w:type="spellStart"/>
      <w:r w:rsidR="00970F23">
        <w:rPr>
          <w:rFonts w:eastAsia="Calibri"/>
          <w:color w:val="000000" w:themeColor="text1"/>
          <w:sz w:val="28"/>
          <w:szCs w:val="28"/>
        </w:rPr>
        <w:t>Скрипчин</w:t>
      </w:r>
      <w:proofErr w:type="spellEnd"/>
      <w:r w:rsidR="00970F23">
        <w:rPr>
          <w:rFonts w:eastAsia="Calibri"/>
          <w:color w:val="000000" w:themeColor="text1"/>
          <w:sz w:val="28"/>
          <w:szCs w:val="28"/>
        </w:rPr>
        <w:t>, вул. Центральна,7</w:t>
      </w:r>
      <w:r>
        <w:rPr>
          <w:rFonts w:eastAsia="Calibri"/>
          <w:color w:val="000000" w:themeColor="text1"/>
          <w:sz w:val="28"/>
          <w:szCs w:val="28"/>
        </w:rPr>
        <w:t>:</w:t>
      </w:r>
    </w:p>
    <w:p w:rsidR="00516FD4" w:rsidRPr="00A23D5B" w:rsidRDefault="00CD65CB" w:rsidP="00CD65CB">
      <w:pPr>
        <w:spacing w:line="259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="00A23D5B"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за рахунок залишку загального фонду </w:t>
      </w:r>
      <w:r w:rsidRPr="00A23D5B">
        <w:rPr>
          <w:rFonts w:eastAsia="Calibri"/>
          <w:color w:val="000000" w:themeColor="text1"/>
          <w:sz w:val="28"/>
          <w:szCs w:val="28"/>
        </w:rPr>
        <w:t xml:space="preserve">згідно коду 602100 </w:t>
      </w:r>
      <w:r w:rsidRPr="00A23D5B">
        <w:rPr>
          <w:color w:val="000000" w:themeColor="text1"/>
          <w:sz w:val="28"/>
          <w:szCs w:val="28"/>
        </w:rPr>
        <w:t>«На початок періоду»</w:t>
      </w:r>
      <w:r>
        <w:rPr>
          <w:rFonts w:eastAsia="Calibri"/>
          <w:color w:val="000000" w:themeColor="text1"/>
          <w:sz w:val="28"/>
          <w:szCs w:val="28"/>
        </w:rPr>
        <w:t xml:space="preserve"> з</w:t>
      </w:r>
      <w:r w:rsidR="00A23D5B" w:rsidRPr="00A23D5B">
        <w:rPr>
          <w:color w:val="000000" w:themeColor="text1"/>
          <w:sz w:val="28"/>
          <w:szCs w:val="28"/>
        </w:rPr>
        <w:t xml:space="preserve">більшити видаткову частини бюджету загального  </w:t>
      </w:r>
      <w:r w:rsidR="00516FD4">
        <w:rPr>
          <w:color w:val="000000" w:themeColor="text1"/>
          <w:sz w:val="28"/>
          <w:szCs w:val="28"/>
        </w:rPr>
        <w:t xml:space="preserve">фонду </w:t>
      </w:r>
      <w:r w:rsidR="00A23D5B" w:rsidRPr="00A23D5B">
        <w:rPr>
          <w:color w:val="000000" w:themeColor="text1"/>
          <w:sz w:val="28"/>
          <w:szCs w:val="28"/>
        </w:rPr>
        <w:t>по  ТПВКМБ</w:t>
      </w:r>
      <w:r w:rsidR="00A23D5B" w:rsidRPr="00A23D5B">
        <w:rPr>
          <w:rFonts w:eastAsia="Calibri"/>
          <w:color w:val="000000" w:themeColor="text1"/>
          <w:sz w:val="28"/>
          <w:szCs w:val="28"/>
        </w:rPr>
        <w:t xml:space="preserve"> 0618110  «Заходи із запобігання та ліквідації надзвичайних ситуацій та наслідків стихійного лиха» КЕКВ 2240 «Оплата послуг (крім комунальних)» на суму  </w:t>
      </w:r>
      <w:r w:rsidR="00A23D5B" w:rsidRPr="0072293F">
        <w:rPr>
          <w:rFonts w:eastAsia="Calibri"/>
          <w:b/>
          <w:color w:val="000000" w:themeColor="text1"/>
          <w:sz w:val="28"/>
          <w:szCs w:val="28"/>
        </w:rPr>
        <w:t>199305,24</w:t>
      </w:r>
      <w:r w:rsidR="00A23D5B">
        <w:rPr>
          <w:rFonts w:eastAsia="Calibri"/>
          <w:color w:val="000000" w:themeColor="text1"/>
          <w:sz w:val="28"/>
          <w:szCs w:val="28"/>
        </w:rPr>
        <w:t xml:space="preserve"> грн.</w:t>
      </w:r>
      <w:r w:rsidR="00A23D5B" w:rsidRPr="00A23D5B"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8A2E9F" w:rsidRDefault="008A2E9F" w:rsidP="008A2E9F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Валентин БРИГИНЕЦЬ</w:t>
      </w:r>
    </w:p>
    <w:p w:rsidR="00DC1FBA" w:rsidRPr="0082237F" w:rsidRDefault="00DC1FBA" w:rsidP="008A2E9F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DA649F">
      <w:pgSz w:w="11906" w:h="16838"/>
      <w:pgMar w:top="993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3138A8"/>
    <w:rsid w:val="00320952"/>
    <w:rsid w:val="00346E28"/>
    <w:rsid w:val="0036393A"/>
    <w:rsid w:val="003920A8"/>
    <w:rsid w:val="003B79CC"/>
    <w:rsid w:val="00403A7E"/>
    <w:rsid w:val="004104B8"/>
    <w:rsid w:val="00440CE6"/>
    <w:rsid w:val="00461458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F7069"/>
    <w:rsid w:val="00622422"/>
    <w:rsid w:val="006241CE"/>
    <w:rsid w:val="006712DF"/>
    <w:rsid w:val="00676F90"/>
    <w:rsid w:val="00677739"/>
    <w:rsid w:val="006835E3"/>
    <w:rsid w:val="006912CB"/>
    <w:rsid w:val="006A0BA3"/>
    <w:rsid w:val="006C0F59"/>
    <w:rsid w:val="006C338A"/>
    <w:rsid w:val="006D0287"/>
    <w:rsid w:val="00711185"/>
    <w:rsid w:val="00722354"/>
    <w:rsid w:val="0072293F"/>
    <w:rsid w:val="00765757"/>
    <w:rsid w:val="007720E9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2E9F"/>
    <w:rsid w:val="008A3C59"/>
    <w:rsid w:val="008C3015"/>
    <w:rsid w:val="00930B68"/>
    <w:rsid w:val="009317C7"/>
    <w:rsid w:val="00937E5F"/>
    <w:rsid w:val="00943223"/>
    <w:rsid w:val="00970F23"/>
    <w:rsid w:val="00977310"/>
    <w:rsid w:val="00980488"/>
    <w:rsid w:val="0099087A"/>
    <w:rsid w:val="00997D5B"/>
    <w:rsid w:val="009A205A"/>
    <w:rsid w:val="00A01B36"/>
    <w:rsid w:val="00A10A79"/>
    <w:rsid w:val="00A14EF1"/>
    <w:rsid w:val="00A23D5B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A649F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567A1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75641-6F46-4EE6-AE35-45AF1F10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15</cp:revision>
  <cp:lastPrinted>2023-08-03T13:20:00Z</cp:lastPrinted>
  <dcterms:created xsi:type="dcterms:W3CDTF">2023-08-01T04:48:00Z</dcterms:created>
  <dcterms:modified xsi:type="dcterms:W3CDTF">2023-08-03T13:20:00Z</dcterms:modified>
</cp:coreProperties>
</file>