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8D0111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6013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8F4AFB">
        <w:rPr>
          <w:sz w:val="28"/>
          <w:szCs w:val="28"/>
          <w:lang w:val="uk-UA"/>
        </w:rPr>
        <w:t>72</w:t>
      </w:r>
      <w:r w:rsidR="00F6013D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C766E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Ярмоленку</w:t>
      </w:r>
      <w:proofErr w:type="spellEnd"/>
      <w:r w:rsidR="00C766E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В.Г.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C766E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707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766E7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C766E7">
        <w:rPr>
          <w:sz w:val="28"/>
        </w:rPr>
        <w:t>Ярмоленка</w:t>
      </w:r>
      <w:proofErr w:type="spellEnd"/>
      <w:r w:rsidR="00C766E7">
        <w:rPr>
          <w:sz w:val="28"/>
        </w:rPr>
        <w:t xml:space="preserve"> Володимира Григоровича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C766E7">
        <w:rPr>
          <w:sz w:val="28"/>
        </w:rPr>
        <w:t>015673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766E7">
        <w:rPr>
          <w:sz w:val="28"/>
        </w:rPr>
        <w:t>ім. Гагаріна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766E7">
        <w:rPr>
          <w:sz w:val="28"/>
        </w:rPr>
        <w:t xml:space="preserve">ину </w:t>
      </w:r>
      <w:proofErr w:type="spellStart"/>
      <w:r w:rsidR="00C766E7">
        <w:rPr>
          <w:sz w:val="28"/>
        </w:rPr>
        <w:t>Ярмоленку</w:t>
      </w:r>
      <w:proofErr w:type="spellEnd"/>
      <w:r w:rsidR="00C766E7">
        <w:rPr>
          <w:sz w:val="28"/>
        </w:rPr>
        <w:t xml:space="preserve"> Володимиру Григоровичу</w:t>
      </w:r>
      <w:r w:rsidR="008A1872">
        <w:rPr>
          <w:sz w:val="28"/>
        </w:rPr>
        <w:t xml:space="preserve"> </w:t>
      </w:r>
      <w:r w:rsidR="00A869CC">
        <w:rPr>
          <w:sz w:val="28"/>
        </w:rPr>
        <w:t xml:space="preserve">            </w:t>
      </w:r>
      <w:r w:rsidR="00554808">
        <w:rPr>
          <w:sz w:val="28"/>
        </w:rPr>
        <w:t>(</w:t>
      </w:r>
      <w:r w:rsidR="001D2DF1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proofErr w:type="spellStart"/>
      <w:r w:rsidR="00C766E7">
        <w:rPr>
          <w:sz w:val="28"/>
        </w:rPr>
        <w:t>Олексіївщина</w:t>
      </w:r>
      <w:proofErr w:type="spellEnd"/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FE1230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C766E7">
        <w:rPr>
          <w:sz w:val="28"/>
        </w:rPr>
        <w:t>707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1D2DF1">
        <w:rPr>
          <w:sz w:val="28"/>
        </w:rPr>
        <w:t xml:space="preserve">ЧН № </w:t>
      </w:r>
      <w:r w:rsidR="00A869CE">
        <w:rPr>
          <w:sz w:val="28"/>
        </w:rPr>
        <w:t>01</w:t>
      </w:r>
      <w:r w:rsidR="00A869CC">
        <w:rPr>
          <w:sz w:val="28"/>
        </w:rPr>
        <w:t>5673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C766E7">
        <w:rPr>
          <w:sz w:val="28"/>
        </w:rPr>
        <w:t>ім. Гагаріна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47AAB">
        <w:rPr>
          <w:sz w:val="28"/>
        </w:rPr>
        <w:t xml:space="preserve">1,61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E47AAB">
        <w:rPr>
          <w:sz w:val="28"/>
        </w:rPr>
        <w:t xml:space="preserve"> 1,61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063" w:rsidRDefault="00934063" w:rsidP="0008250A">
      <w:r>
        <w:separator/>
      </w:r>
    </w:p>
  </w:endnote>
  <w:endnote w:type="continuationSeparator" w:id="0">
    <w:p w:rsidR="00934063" w:rsidRDefault="0093406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063" w:rsidRDefault="00934063" w:rsidP="0008250A">
      <w:r>
        <w:separator/>
      </w:r>
    </w:p>
  </w:footnote>
  <w:footnote w:type="continuationSeparator" w:id="0">
    <w:p w:rsidR="00934063" w:rsidRDefault="0093406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087D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4AFB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4063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343A9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1230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BF83-C43A-4E2C-967A-F9A1A9D0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2021-05-20T09:26:00Z</cp:lastPrinted>
  <dcterms:created xsi:type="dcterms:W3CDTF">2021-06-01T06:29:00Z</dcterms:created>
  <dcterms:modified xsi:type="dcterms:W3CDTF">2021-06-01T06:29:00Z</dcterms:modified>
</cp:coreProperties>
</file>