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545DE8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645A6E">
        <w:rPr>
          <w:rFonts w:ascii="Times New Roman" w:hAnsi="Times New Roman" w:cs="Times New Roman"/>
          <w:bCs/>
          <w:sz w:val="28"/>
          <w:szCs w:val="28"/>
          <w:lang w:val="uk-UA"/>
        </w:rPr>
        <w:t>23</w:t>
      </w:r>
      <w:r w:rsidR="00545DE8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C5A55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Омелянівського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5A55">
        <w:rPr>
          <w:rFonts w:ascii="Times New Roman" w:hAnsi="Times New Roman" w:cs="Times New Roman"/>
          <w:bCs/>
          <w:sz w:val="28"/>
          <w:szCs w:val="28"/>
          <w:lang w:val="uk-UA"/>
        </w:rPr>
        <w:t>Шиян Раїсі Іллівні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r w:rsidR="004C5A55">
        <w:rPr>
          <w:rFonts w:ascii="Times New Roman" w:hAnsi="Times New Roman" w:cs="Times New Roman"/>
          <w:bCs/>
          <w:sz w:val="28"/>
          <w:szCs w:val="28"/>
          <w:lang w:val="uk-UA"/>
        </w:rPr>
        <w:t>мелянівс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ьког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25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57D2C" w:rsidRPr="00857D2C" w:rsidRDefault="00857D2C" w:rsidP="00857D2C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57D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 Вважати рішення другої (позачергової) сесії Козелецької селищної ради восьмого скликання від 18 грудня 202</w:t>
      </w:r>
      <w:r w:rsidR="00845FEB">
        <w:rPr>
          <w:rFonts w:ascii="Times New Roman" w:hAnsi="Times New Roman" w:cs="Times New Roman"/>
          <w:bCs/>
          <w:sz w:val="28"/>
          <w:szCs w:val="28"/>
          <w:lang w:val="uk-UA"/>
        </w:rPr>
        <w:t>0 року № 35</w:t>
      </w:r>
      <w:r w:rsidRPr="00857D2C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857D2C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857D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 w:rsidR="00845FEB">
        <w:rPr>
          <w:rFonts w:ascii="Times New Roman" w:hAnsi="Times New Roman" w:cs="Times New Roman"/>
          <w:bCs/>
          <w:sz w:val="28"/>
          <w:szCs w:val="28"/>
          <w:lang w:val="uk-UA"/>
        </w:rPr>
        <w:t>Омелянівського</w:t>
      </w:r>
      <w:bookmarkStart w:id="0" w:name="_GoBack"/>
      <w:bookmarkEnd w:id="0"/>
      <w:proofErr w:type="spellEnd"/>
      <w:r w:rsidRPr="00857D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857D2C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857D2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857D2C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55F65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A75A3"/>
    <w:rsid w:val="004B2B1F"/>
    <w:rsid w:val="004C3B60"/>
    <w:rsid w:val="004C5A55"/>
    <w:rsid w:val="004E3323"/>
    <w:rsid w:val="004F3B77"/>
    <w:rsid w:val="005014B8"/>
    <w:rsid w:val="00520390"/>
    <w:rsid w:val="00534EB8"/>
    <w:rsid w:val="00535488"/>
    <w:rsid w:val="00545DE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45A6E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45FEB"/>
    <w:rsid w:val="00857D2C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AF6D97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C7858"/>
    <w:rsid w:val="00ED354C"/>
    <w:rsid w:val="00EE4D35"/>
    <w:rsid w:val="00F0767A"/>
    <w:rsid w:val="00F13FAF"/>
    <w:rsid w:val="00F35C6D"/>
    <w:rsid w:val="00F52141"/>
    <w:rsid w:val="00F841D2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8A96A0-B586-4A3C-8CD1-4DCB8C860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2132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59</cp:revision>
  <cp:lastPrinted>2021-08-12T09:04:00Z</cp:lastPrinted>
  <dcterms:created xsi:type="dcterms:W3CDTF">2020-06-25T05:42:00Z</dcterms:created>
  <dcterms:modified xsi:type="dcterms:W3CDTF">2021-08-12T09:04:00Z</dcterms:modified>
</cp:coreProperties>
</file>