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6B" w:rsidRDefault="00E2376B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16283" w:rsidRDefault="00516283" w:rsidP="0051628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16283" w:rsidRDefault="00516283" w:rsidP="0051628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283" w:rsidRDefault="00516283" w:rsidP="00516283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704AC7" w:rsidP="00704AC7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5A29A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третя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437562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437562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09 червня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5A29A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Pr="005A29A4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72707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37562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172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5A29A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80787" w:rsidRPr="005A29A4" w:rsidRDefault="00880787" w:rsidP="00880787">
      <w:pPr>
        <w:rPr>
          <w:rFonts w:eastAsia="Calibri"/>
        </w:rPr>
      </w:pPr>
    </w:p>
    <w:p w:rsidR="00083D24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 xml:space="preserve">проведення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у формі аукціону 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B639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 xml:space="preserve">«Про оренду землі», Закону України «Про державну реєстрацію речових прав на нерухоме майно та їх обтяжень», керуючись п. 34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Виставити 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стартовий розмір річної оренди за користування земельними ділянками, які виставляються на 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062048" w:rsidRDefault="00062048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B639C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A321E" w:rsidRDefault="00DA321E" w:rsidP="00B639C4">
      <w:pPr>
        <w:spacing w:line="276" w:lineRule="auto"/>
        <w:jc w:val="both"/>
        <w:rPr>
          <w:sz w:val="28"/>
          <w:szCs w:val="28"/>
          <w:lang w:val="uk-UA"/>
        </w:rPr>
      </w:pPr>
    </w:p>
    <w:p w:rsidR="00AE31E9" w:rsidRDefault="00516283" w:rsidP="00AE31E9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AE31E9">
        <w:rPr>
          <w:sz w:val="28"/>
          <w:szCs w:val="28"/>
          <w:lang w:val="uk-UA"/>
        </w:rPr>
        <w:t xml:space="preserve">олова                              </w:t>
      </w:r>
      <w:r w:rsidR="00E018CB">
        <w:rPr>
          <w:sz w:val="28"/>
          <w:szCs w:val="28"/>
          <w:lang w:val="uk-UA"/>
        </w:rPr>
        <w:t xml:space="preserve">    </w:t>
      </w:r>
      <w:r w:rsidR="00AE31E9">
        <w:rPr>
          <w:sz w:val="28"/>
          <w:szCs w:val="28"/>
          <w:lang w:val="uk-UA"/>
        </w:rPr>
        <w:t xml:space="preserve">                                            </w:t>
      </w:r>
      <w:r w:rsidR="001223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 xml:space="preserve">двадцять </w:t>
      </w:r>
      <w:r w:rsidR="005A29A4">
        <w:rPr>
          <w:sz w:val="28"/>
          <w:szCs w:val="28"/>
          <w:lang w:val="uk-UA"/>
        </w:rPr>
        <w:t>третьої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437562" w:rsidRPr="00437562">
        <w:rPr>
          <w:sz w:val="28"/>
          <w:szCs w:val="28"/>
          <w:lang w:val="uk-UA"/>
        </w:rPr>
        <w:t>09 червня</w:t>
      </w:r>
      <w:r w:rsidR="00437562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5A29A4">
        <w:rPr>
          <w:sz w:val="28"/>
          <w:szCs w:val="28"/>
          <w:lang w:val="uk-UA"/>
        </w:rPr>
        <w:t>3</w:t>
      </w:r>
      <w:r w:rsidR="00122376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 xml:space="preserve">року </w:t>
      </w:r>
      <w:r w:rsidR="00BA19B4">
        <w:rPr>
          <w:sz w:val="28"/>
          <w:szCs w:val="28"/>
          <w:lang w:val="uk-UA"/>
        </w:rPr>
        <w:br/>
        <w:t xml:space="preserve">№ </w:t>
      </w:r>
      <w:r w:rsidR="00437562">
        <w:rPr>
          <w:sz w:val="28"/>
          <w:szCs w:val="28"/>
          <w:lang w:val="uk-UA"/>
        </w:rPr>
        <w:t>172</w:t>
      </w:r>
      <w:bookmarkStart w:id="0" w:name="_GoBack"/>
      <w:bookmarkEnd w:id="0"/>
      <w:r w:rsidR="00122376">
        <w:rPr>
          <w:sz w:val="28"/>
          <w:szCs w:val="28"/>
          <w:lang w:val="uk-UA"/>
        </w:rPr>
        <w:t>-</w:t>
      </w:r>
      <w:r w:rsidR="00E018CB">
        <w:rPr>
          <w:sz w:val="28"/>
          <w:szCs w:val="28"/>
          <w:lang w:val="uk-UA"/>
        </w:rPr>
        <w:t>2</w:t>
      </w:r>
      <w:r w:rsidR="005A29A4">
        <w:rPr>
          <w:sz w:val="28"/>
          <w:szCs w:val="28"/>
          <w:lang w:val="uk-UA"/>
        </w:rPr>
        <w:t>3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proofErr w:type="spellStart"/>
      <w:r>
        <w:rPr>
          <w:b/>
          <w:sz w:val="28"/>
          <w:szCs w:val="28"/>
          <w:lang w:val="uk-UA"/>
        </w:rPr>
        <w:t>Козелецької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 w:firstRow="1" w:lastRow="0" w:firstColumn="1" w:lastColumn="0" w:noHBand="0" w:noVBand="1"/>
      </w:tblPr>
      <w:tblGrid>
        <w:gridCol w:w="675"/>
        <w:gridCol w:w="2697"/>
        <w:gridCol w:w="4816"/>
        <w:gridCol w:w="1389"/>
        <w:gridCol w:w="4281"/>
        <w:gridCol w:w="1417"/>
      </w:tblGrid>
      <w:tr w:rsidR="005A29A4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5A29A4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423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</w:t>
            </w:r>
            <w:r w:rsidR="005A29A4">
              <w:rPr>
                <w:lang w:val="uk-UA"/>
              </w:rPr>
              <w:t>24</w:t>
            </w:r>
            <w:r>
              <w:rPr>
                <w:lang w:val="uk-UA"/>
              </w:rPr>
              <w:t>00</w:t>
            </w:r>
            <w:r w:rsidRPr="00B56FEC">
              <w:t>:</w:t>
            </w:r>
            <w:r w:rsidR="005A29A4">
              <w:rPr>
                <w:lang w:val="uk-UA"/>
              </w:rPr>
              <w:t>88</w:t>
            </w:r>
            <w:r w:rsidRPr="00B56FEC">
              <w:t>:</w:t>
            </w:r>
            <w:r w:rsidR="006B7133">
              <w:rPr>
                <w:lang w:val="uk-UA"/>
              </w:rPr>
              <w:t>0</w:t>
            </w:r>
            <w:r w:rsidR="00A60499">
              <w:rPr>
                <w:lang w:val="uk-UA"/>
              </w:rPr>
              <w:t>6</w:t>
            </w:r>
            <w:r w:rsidR="005A29A4">
              <w:rPr>
                <w:lang w:val="uk-UA"/>
              </w:rPr>
              <w:t>1</w:t>
            </w:r>
            <w:r w:rsidRPr="00B56FEC">
              <w:t>:0</w:t>
            </w:r>
            <w:r>
              <w:rPr>
                <w:lang w:val="uk-UA"/>
              </w:rPr>
              <w:t>00</w:t>
            </w:r>
            <w:r w:rsidR="005A29A4">
              <w:rPr>
                <w:lang w:val="uk-UA"/>
              </w:rPr>
              <w:t>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D82228" w:rsidRDefault="00335B27" w:rsidP="00335B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r w:rsidR="00844236">
              <w:rPr>
                <w:lang w:val="uk-UA"/>
              </w:rPr>
              <w:t xml:space="preserve"> </w:t>
            </w:r>
            <w:proofErr w:type="spellStart"/>
            <w:r w:rsidR="00844236">
              <w:rPr>
                <w:lang w:val="uk-UA"/>
              </w:rPr>
              <w:t>Козелецької</w:t>
            </w:r>
            <w:proofErr w:type="spellEnd"/>
            <w:r w:rsidR="00844236">
              <w:rPr>
                <w:lang w:val="uk-UA"/>
              </w:rPr>
              <w:t xml:space="preserve"> селищної ради </w:t>
            </w:r>
            <w:r>
              <w:rPr>
                <w:lang w:val="uk-UA"/>
              </w:rPr>
              <w:t xml:space="preserve">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1C49EB" w:rsidRDefault="005A29A4" w:rsidP="008430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4,4572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117</w:t>
            </w:r>
            <w:r w:rsidRPr="00B56FEC">
              <w:t>:0</w:t>
            </w:r>
            <w:r>
              <w:rPr>
                <w:lang w:val="uk-UA"/>
              </w:rPr>
              <w:t>003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8,6675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145</w:t>
            </w:r>
            <w:r w:rsidRPr="00B56FEC">
              <w:t>:0</w:t>
            </w:r>
            <w:r>
              <w:rPr>
                <w:lang w:val="uk-UA"/>
              </w:rPr>
              <w:t>002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10,8051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145</w:t>
            </w:r>
            <w:r w:rsidRPr="00B56FEC">
              <w:t>:0</w:t>
            </w:r>
            <w:r>
              <w:rPr>
                <w:lang w:val="uk-UA"/>
              </w:rPr>
              <w:t>003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19,9423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2082400</w:t>
            </w:r>
            <w:r w:rsidRPr="00B56FEC">
              <w:t>:</w:t>
            </w:r>
            <w:r>
              <w:rPr>
                <w:lang w:val="uk-UA"/>
              </w:rPr>
              <w:t>88</w:t>
            </w:r>
            <w:r w:rsidRPr="00B56FEC">
              <w:t>:</w:t>
            </w:r>
            <w:r>
              <w:rPr>
                <w:lang w:val="uk-UA"/>
              </w:rPr>
              <w:t>152</w:t>
            </w:r>
            <w:r w:rsidRPr="00B56FEC">
              <w:t>:0</w:t>
            </w:r>
            <w:r>
              <w:rPr>
                <w:lang w:val="uk-UA"/>
              </w:rPr>
              <w:t>001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14,7463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2086600</w:t>
            </w:r>
            <w:r w:rsidRPr="00B56FEC">
              <w:t>:</w:t>
            </w:r>
            <w:r>
              <w:rPr>
                <w:lang w:val="uk-UA"/>
              </w:rPr>
              <w:t>37</w:t>
            </w:r>
            <w:r w:rsidRPr="00B56FEC">
              <w:t>:</w:t>
            </w:r>
            <w:r>
              <w:rPr>
                <w:lang w:val="uk-UA"/>
              </w:rPr>
              <w:t>055</w:t>
            </w:r>
            <w:r w:rsidRPr="00B56FEC">
              <w:t>:0</w:t>
            </w:r>
            <w:r>
              <w:rPr>
                <w:lang w:val="uk-UA"/>
              </w:rPr>
              <w:t>001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7,8365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2087100</w:t>
            </w:r>
            <w:r w:rsidRPr="00B56FEC">
              <w:t>:</w:t>
            </w:r>
            <w:r>
              <w:rPr>
                <w:lang w:val="uk-UA"/>
              </w:rPr>
              <w:t>41</w:t>
            </w:r>
            <w:r w:rsidRPr="00B56FEC">
              <w:t>:</w:t>
            </w:r>
            <w:r>
              <w:rPr>
                <w:lang w:val="uk-UA"/>
              </w:rPr>
              <w:t>070</w:t>
            </w:r>
            <w:r w:rsidRPr="00B56FEC">
              <w:t>:0</w:t>
            </w:r>
            <w:r>
              <w:rPr>
                <w:lang w:val="uk-UA"/>
              </w:rPr>
              <w:t>019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4,4018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2087100</w:t>
            </w:r>
            <w:r w:rsidRPr="00B56FEC">
              <w:t>:</w:t>
            </w:r>
            <w:r>
              <w:rPr>
                <w:lang w:val="uk-UA"/>
              </w:rPr>
              <w:t>41</w:t>
            </w:r>
            <w:r w:rsidRPr="00B56FEC">
              <w:t>:</w:t>
            </w:r>
            <w:r>
              <w:rPr>
                <w:lang w:val="uk-UA"/>
              </w:rPr>
              <w:t>070</w:t>
            </w:r>
            <w:r w:rsidRPr="00B56FEC">
              <w:t>:0</w:t>
            </w:r>
            <w:r>
              <w:rPr>
                <w:lang w:val="uk-UA"/>
              </w:rPr>
              <w:t>004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6,0000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2087100</w:t>
            </w:r>
            <w:r w:rsidRPr="00B56FEC">
              <w:t>:</w:t>
            </w:r>
            <w:r>
              <w:rPr>
                <w:lang w:val="uk-UA"/>
              </w:rPr>
              <w:t>41</w:t>
            </w:r>
            <w:r w:rsidRPr="00B56FEC">
              <w:t>:</w:t>
            </w:r>
            <w:r>
              <w:rPr>
                <w:lang w:val="uk-UA"/>
              </w:rPr>
              <w:t>070</w:t>
            </w:r>
            <w:r w:rsidRPr="00B56FEC">
              <w:t>:0</w:t>
            </w:r>
            <w:r>
              <w:rPr>
                <w:lang w:val="uk-UA"/>
              </w:rPr>
              <w:t>005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5,1630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2089100</w:t>
            </w:r>
            <w:r w:rsidRPr="00B56FEC">
              <w:t>:</w:t>
            </w:r>
            <w:r>
              <w:rPr>
                <w:lang w:val="uk-UA"/>
              </w:rPr>
              <w:t>84</w:t>
            </w:r>
            <w:r w:rsidRPr="00B56FEC">
              <w:t>:</w:t>
            </w:r>
            <w:r>
              <w:rPr>
                <w:lang w:val="uk-UA"/>
              </w:rPr>
              <w:t>158</w:t>
            </w:r>
            <w:r w:rsidRPr="00B56FEC">
              <w:t>:0</w:t>
            </w:r>
            <w:r>
              <w:rPr>
                <w:lang w:val="uk-UA"/>
              </w:rPr>
              <w:t>002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11,3765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5A29A4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4" w:rsidRPr="00B56FEC" w:rsidRDefault="005A29A4" w:rsidP="005A29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2089100</w:t>
            </w:r>
            <w:r w:rsidRPr="00B56FEC">
              <w:t>:</w:t>
            </w:r>
            <w:r>
              <w:rPr>
                <w:lang w:val="uk-UA"/>
              </w:rPr>
              <w:t>84</w:t>
            </w:r>
            <w:r w:rsidRPr="00B56FEC">
              <w:t>:</w:t>
            </w:r>
            <w:r>
              <w:rPr>
                <w:lang w:val="uk-UA"/>
              </w:rPr>
              <w:t>158</w:t>
            </w:r>
            <w:r w:rsidRPr="00B56FEC">
              <w:t>:0</w:t>
            </w:r>
            <w:r>
              <w:rPr>
                <w:lang w:val="uk-UA"/>
              </w:rPr>
              <w:t>003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D82228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1C49EB" w:rsidRDefault="005A29A4" w:rsidP="005A29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16,6079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4" w:rsidRPr="00B56FEC" w:rsidRDefault="005A29A4" w:rsidP="005A29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Default="00844236" w:rsidP="00B05144">
      <w:pPr>
        <w:ind w:right="-173"/>
        <w:rPr>
          <w:b/>
          <w:lang w:val="uk-UA"/>
        </w:rPr>
      </w:pPr>
    </w:p>
    <w:p w:rsidR="005A29A4" w:rsidRDefault="005A29A4" w:rsidP="00B05144">
      <w:pPr>
        <w:ind w:right="-173"/>
        <w:rPr>
          <w:b/>
          <w:lang w:val="uk-UA"/>
        </w:rPr>
      </w:pPr>
    </w:p>
    <w:p w:rsidR="005A29A4" w:rsidRPr="00B56FEC" w:rsidRDefault="005A29A4" w:rsidP="00B05144">
      <w:pPr>
        <w:ind w:right="-173"/>
        <w:rPr>
          <w:b/>
          <w:lang w:val="uk-UA"/>
        </w:rPr>
      </w:pPr>
    </w:p>
    <w:p w:rsidR="00844236" w:rsidRDefault="00844236" w:rsidP="00844236">
      <w:pPr>
        <w:rPr>
          <w:b/>
          <w:lang w:val="uk-UA"/>
        </w:rPr>
      </w:pPr>
    </w:p>
    <w:p w:rsidR="00AE31E9" w:rsidRDefault="00E018CB" w:rsidP="00AE31E9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A25AA0">
        <w:rPr>
          <w:sz w:val="28"/>
          <w:szCs w:val="20"/>
          <w:lang w:val="uk-UA"/>
        </w:rPr>
        <w:t xml:space="preserve">                                                                                         </w:t>
      </w:r>
      <w:r>
        <w:rPr>
          <w:sz w:val="28"/>
          <w:szCs w:val="20"/>
          <w:lang w:val="uk-UA"/>
        </w:rPr>
        <w:t xml:space="preserve">              </w:t>
      </w:r>
      <w:r w:rsidR="00A25AA0">
        <w:rPr>
          <w:sz w:val="28"/>
          <w:szCs w:val="20"/>
          <w:lang w:val="uk-UA"/>
        </w:rPr>
        <w:t xml:space="preserve">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A509E3" w:rsidRDefault="00A509E3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A509E3" w:rsidRDefault="00A509E3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A509E3" w:rsidRDefault="00A509E3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</w:p>
    <w:p w:rsidR="00122376" w:rsidRDefault="0084423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>двадцять другої</w:t>
      </w:r>
      <w:r w:rsidR="00122376" w:rsidRPr="00FA2575">
        <w:rPr>
          <w:sz w:val="28"/>
          <w:szCs w:val="28"/>
          <w:lang w:val="uk-UA"/>
        </w:rPr>
        <w:t xml:space="preserve"> сесії </w:t>
      </w:r>
    </w:p>
    <w:p w:rsidR="00122376" w:rsidRDefault="0012237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122376" w:rsidRPr="00911820" w:rsidRDefault="00704AC7" w:rsidP="0012237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E018CB">
        <w:rPr>
          <w:sz w:val="28"/>
          <w:szCs w:val="28"/>
          <w:lang w:val="uk-UA"/>
        </w:rPr>
        <w:t>16 грудня</w:t>
      </w:r>
      <w:r w:rsidR="00122376">
        <w:rPr>
          <w:sz w:val="28"/>
          <w:szCs w:val="28"/>
          <w:lang w:val="uk-UA"/>
        </w:rPr>
        <w:t xml:space="preserve"> 2022 року </w:t>
      </w:r>
      <w:r w:rsidR="00122376">
        <w:rPr>
          <w:sz w:val="28"/>
          <w:szCs w:val="28"/>
          <w:lang w:val="uk-UA"/>
        </w:rPr>
        <w:br/>
        <w:t>№ -</w:t>
      </w:r>
      <w:r w:rsidR="00E018CB">
        <w:rPr>
          <w:sz w:val="28"/>
          <w:szCs w:val="28"/>
          <w:lang w:val="uk-UA"/>
        </w:rPr>
        <w:t>22</w:t>
      </w:r>
      <w:r w:rsidR="00122376" w:rsidRPr="00FA2575">
        <w:rPr>
          <w:sz w:val="28"/>
          <w:szCs w:val="28"/>
          <w:lang w:val="uk-UA"/>
        </w:rPr>
        <w:t>/</w:t>
      </w:r>
      <w:r w:rsidR="00122376">
        <w:rPr>
          <w:sz w:val="28"/>
          <w:szCs w:val="28"/>
          <w:lang w:val="en-US"/>
        </w:rPr>
        <w:t>VIII</w:t>
      </w:r>
    </w:p>
    <w:p w:rsidR="00844236" w:rsidRPr="00122376" w:rsidRDefault="00122376" w:rsidP="001223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844236" w:rsidRPr="00122376">
        <w:rPr>
          <w:b/>
          <w:sz w:val="28"/>
          <w:szCs w:val="28"/>
          <w:lang w:val="uk-UA"/>
        </w:rPr>
        <w:t xml:space="preserve">Стартовий розмір річної оренди орендної плати за користування земельними ділянками </w:t>
      </w:r>
    </w:p>
    <w:p w:rsidR="00844236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Pr="00E17771">
        <w:rPr>
          <w:b/>
          <w:sz w:val="28"/>
          <w:szCs w:val="28"/>
          <w:lang w:val="uk-UA"/>
        </w:rPr>
        <w:t xml:space="preserve">комунальної власності </w:t>
      </w:r>
      <w:r>
        <w:rPr>
          <w:b/>
          <w:sz w:val="28"/>
          <w:szCs w:val="28"/>
          <w:lang w:val="uk-UA"/>
        </w:rPr>
        <w:t xml:space="preserve">, які виставляються на земельні торги 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0B07DA" w:rsidTr="00450775">
        <w:tc>
          <w:tcPr>
            <w:tcW w:w="776" w:type="dxa"/>
            <w:vAlign w:val="center"/>
          </w:tcPr>
          <w:p w:rsidR="000B07DA" w:rsidRPr="00B15551" w:rsidRDefault="000B07DA" w:rsidP="000B07DA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0B07DA" w:rsidRPr="00B15551" w:rsidRDefault="00335B27" w:rsidP="004414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="000B07DA"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B07DA" w:rsidRPr="00B15551" w:rsidRDefault="000B07DA" w:rsidP="0003251D">
            <w:pPr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</w:rPr>
              <w:t>742</w:t>
            </w:r>
            <w:r w:rsidRPr="00B15551">
              <w:rPr>
                <w:sz w:val="28"/>
                <w:szCs w:val="28"/>
                <w:lang w:val="uk-UA"/>
              </w:rPr>
              <w:t>208</w:t>
            </w:r>
            <w:r w:rsidR="0003251D">
              <w:rPr>
                <w:sz w:val="28"/>
                <w:szCs w:val="28"/>
                <w:lang w:val="uk-UA"/>
              </w:rPr>
              <w:t>24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Pr="00B15551">
              <w:rPr>
                <w:sz w:val="28"/>
                <w:szCs w:val="28"/>
              </w:rPr>
              <w:t>:</w:t>
            </w:r>
            <w:r w:rsidR="0003251D">
              <w:rPr>
                <w:sz w:val="28"/>
                <w:szCs w:val="28"/>
                <w:lang w:val="uk-UA"/>
              </w:rPr>
              <w:t>88</w:t>
            </w:r>
            <w:r w:rsidRPr="00B15551">
              <w:rPr>
                <w:sz w:val="28"/>
                <w:szCs w:val="28"/>
              </w:rPr>
              <w:t>:</w:t>
            </w:r>
            <w:r w:rsidRPr="00B15551">
              <w:rPr>
                <w:sz w:val="28"/>
                <w:szCs w:val="28"/>
                <w:lang w:val="uk-UA"/>
              </w:rPr>
              <w:t>0</w:t>
            </w:r>
            <w:r w:rsidR="00A60499">
              <w:rPr>
                <w:sz w:val="28"/>
                <w:szCs w:val="28"/>
                <w:lang w:val="uk-UA"/>
              </w:rPr>
              <w:t>6</w:t>
            </w:r>
            <w:r w:rsidR="0003251D">
              <w:rPr>
                <w:sz w:val="28"/>
                <w:szCs w:val="28"/>
                <w:lang w:val="uk-UA"/>
              </w:rPr>
              <w:t>1</w:t>
            </w:r>
            <w:r w:rsidRPr="00B15551">
              <w:rPr>
                <w:sz w:val="28"/>
                <w:szCs w:val="28"/>
              </w:rPr>
              <w:t>:0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="0003251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0B07DA" w:rsidRPr="00B15551" w:rsidRDefault="0003251D" w:rsidP="000B07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4.4572</w:t>
            </w:r>
          </w:p>
        </w:tc>
        <w:tc>
          <w:tcPr>
            <w:tcW w:w="1701" w:type="dxa"/>
          </w:tcPr>
          <w:p w:rsidR="000B07DA" w:rsidRPr="00450775" w:rsidRDefault="0003251D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61607,14</w:t>
            </w:r>
          </w:p>
        </w:tc>
        <w:tc>
          <w:tcPr>
            <w:tcW w:w="1843" w:type="dxa"/>
          </w:tcPr>
          <w:p w:rsidR="000B07DA" w:rsidRPr="00450775" w:rsidRDefault="000B07DA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B07DA" w:rsidRPr="00450775" w:rsidRDefault="00B14B90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7392,86</w:t>
            </w:r>
          </w:p>
        </w:tc>
        <w:tc>
          <w:tcPr>
            <w:tcW w:w="1347" w:type="dxa"/>
          </w:tcPr>
          <w:p w:rsidR="000B07DA" w:rsidRPr="00450775" w:rsidRDefault="00B14B90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73,93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7422082400:88:117:0003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8,6675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87347,65</w:t>
            </w:r>
          </w:p>
        </w:tc>
        <w:tc>
          <w:tcPr>
            <w:tcW w:w="1843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10481,72</w:t>
            </w:r>
          </w:p>
        </w:tc>
        <w:tc>
          <w:tcPr>
            <w:tcW w:w="1347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104,82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7422082400:88:145:0002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10,8051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22080,76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2649,69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26,50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</w:t>
            </w:r>
            <w:r w:rsidRPr="0016348E">
              <w:rPr>
                <w:sz w:val="28"/>
                <w:szCs w:val="28"/>
                <w:lang w:val="uk-UA"/>
              </w:rPr>
              <w:lastRenderedPageBreak/>
              <w:t xml:space="preserve">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lastRenderedPageBreak/>
              <w:t>7422082400:88:145:0003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19,9423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48052,12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5766,25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57,67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7422082400:88:152:0001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14,7463</w:t>
            </w:r>
          </w:p>
        </w:tc>
        <w:tc>
          <w:tcPr>
            <w:tcW w:w="1701" w:type="dxa"/>
          </w:tcPr>
          <w:p w:rsidR="0003251D" w:rsidRPr="00EC1DAC" w:rsidRDefault="00A509E3" w:rsidP="00D257A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162</w:t>
            </w:r>
            <w:r w:rsidR="00D257A7">
              <w:rPr>
                <w:sz w:val="28"/>
                <w:szCs w:val="20"/>
                <w:lang w:val="uk-UA"/>
              </w:rPr>
              <w:t>7</w:t>
            </w:r>
            <w:r>
              <w:rPr>
                <w:sz w:val="28"/>
                <w:szCs w:val="20"/>
                <w:lang w:val="uk-UA"/>
              </w:rPr>
              <w:t>30,26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D257A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19527,63</w:t>
            </w:r>
          </w:p>
        </w:tc>
        <w:tc>
          <w:tcPr>
            <w:tcW w:w="1347" w:type="dxa"/>
          </w:tcPr>
          <w:p w:rsidR="0003251D" w:rsidRDefault="00D257A7" w:rsidP="00D257A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195,28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7422086600:37:055:0001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7,8365</w:t>
            </w:r>
          </w:p>
        </w:tc>
        <w:tc>
          <w:tcPr>
            <w:tcW w:w="1701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157406,57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18888,79</w:t>
            </w:r>
          </w:p>
        </w:tc>
        <w:tc>
          <w:tcPr>
            <w:tcW w:w="1347" w:type="dxa"/>
          </w:tcPr>
          <w:p w:rsidR="0003251D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188,89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7422087100:41:070:0019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4,4018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95531,48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11464,78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114,65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7422087100:41:070:0004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6,0000</w:t>
            </w:r>
          </w:p>
        </w:tc>
        <w:tc>
          <w:tcPr>
            <w:tcW w:w="1701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127067,82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15248,14</w:t>
            </w:r>
          </w:p>
        </w:tc>
        <w:tc>
          <w:tcPr>
            <w:tcW w:w="1347" w:type="dxa"/>
          </w:tcPr>
          <w:p w:rsidR="0003251D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152,48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Pr="00B15551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7422087100:41:070:0005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5,1630</w:t>
            </w:r>
          </w:p>
        </w:tc>
        <w:tc>
          <w:tcPr>
            <w:tcW w:w="1701" w:type="dxa"/>
          </w:tcPr>
          <w:p w:rsidR="0003251D" w:rsidRPr="00EC1DAC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109876,37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</w:p>
          <w:p w:rsidR="00B14B90" w:rsidRPr="00EC1DAC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13185,17</w:t>
            </w:r>
          </w:p>
        </w:tc>
        <w:tc>
          <w:tcPr>
            <w:tcW w:w="1347" w:type="dxa"/>
          </w:tcPr>
          <w:p w:rsidR="0003251D" w:rsidRDefault="00B14B90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131,85</w:t>
            </w:r>
          </w:p>
        </w:tc>
      </w:tr>
      <w:tr w:rsidR="0003251D" w:rsidTr="00450775">
        <w:tc>
          <w:tcPr>
            <w:tcW w:w="776" w:type="dxa"/>
            <w:vAlign w:val="center"/>
          </w:tcPr>
          <w:p w:rsidR="0003251D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443" w:type="dxa"/>
          </w:tcPr>
          <w:p w:rsidR="0003251D" w:rsidRDefault="0003251D" w:rsidP="0003251D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lastRenderedPageBreak/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lastRenderedPageBreak/>
              <w:t>7422089100:84:158:0002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11,3765</w:t>
            </w:r>
          </w:p>
        </w:tc>
        <w:tc>
          <w:tcPr>
            <w:tcW w:w="1701" w:type="dxa"/>
          </w:tcPr>
          <w:p w:rsidR="0003251D" w:rsidRPr="00EC1DAC" w:rsidRDefault="00A509E3" w:rsidP="00A509E3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86756,63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10410,80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104,11</w:t>
            </w:r>
          </w:p>
        </w:tc>
      </w:tr>
      <w:tr w:rsidR="0003251D" w:rsidTr="006C6B63">
        <w:tc>
          <w:tcPr>
            <w:tcW w:w="776" w:type="dxa"/>
            <w:vAlign w:val="center"/>
          </w:tcPr>
          <w:p w:rsidR="0003251D" w:rsidRDefault="0003251D" w:rsidP="0003251D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443" w:type="dxa"/>
            <w:vAlign w:val="center"/>
          </w:tcPr>
          <w:p w:rsidR="0003251D" w:rsidRPr="00B15551" w:rsidRDefault="0003251D" w:rsidP="000325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7422089100:84:158:0003</w:t>
            </w:r>
          </w:p>
        </w:tc>
        <w:tc>
          <w:tcPr>
            <w:tcW w:w="1134" w:type="dxa"/>
            <w:vAlign w:val="center"/>
          </w:tcPr>
          <w:p w:rsidR="0003251D" w:rsidRPr="0003251D" w:rsidRDefault="0003251D" w:rsidP="0003251D">
            <w:pPr>
              <w:jc w:val="center"/>
              <w:rPr>
                <w:sz w:val="28"/>
                <w:szCs w:val="28"/>
              </w:rPr>
            </w:pPr>
            <w:r w:rsidRPr="0003251D">
              <w:rPr>
                <w:sz w:val="28"/>
                <w:szCs w:val="28"/>
              </w:rPr>
              <w:t>16,6079</w:t>
            </w:r>
          </w:p>
        </w:tc>
        <w:tc>
          <w:tcPr>
            <w:tcW w:w="1701" w:type="dxa"/>
          </w:tcPr>
          <w:p w:rsidR="0003251D" w:rsidRPr="00EC1DAC" w:rsidRDefault="00A509E3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155654,19</w:t>
            </w:r>
          </w:p>
        </w:tc>
        <w:tc>
          <w:tcPr>
            <w:tcW w:w="1843" w:type="dxa"/>
          </w:tcPr>
          <w:p w:rsidR="0003251D" w:rsidRPr="00450775" w:rsidRDefault="0003251D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3251D" w:rsidRPr="00EC1DAC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18678,5</w:t>
            </w:r>
          </w:p>
        </w:tc>
        <w:tc>
          <w:tcPr>
            <w:tcW w:w="1347" w:type="dxa"/>
          </w:tcPr>
          <w:p w:rsidR="0003251D" w:rsidRDefault="00D257A7" w:rsidP="0003251D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186,79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122376" w:rsidRDefault="00E018CB" w:rsidP="00122376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122376">
        <w:rPr>
          <w:sz w:val="28"/>
          <w:szCs w:val="20"/>
          <w:lang w:val="uk-UA"/>
        </w:rPr>
        <w:t xml:space="preserve">                                                                          </w:t>
      </w:r>
      <w:r w:rsidR="006C31FC">
        <w:rPr>
          <w:sz w:val="28"/>
          <w:szCs w:val="20"/>
          <w:lang w:val="uk-UA"/>
        </w:rPr>
        <w:t xml:space="preserve"> </w:t>
      </w:r>
      <w:r w:rsidR="00122376">
        <w:rPr>
          <w:sz w:val="28"/>
          <w:szCs w:val="20"/>
          <w:lang w:val="uk-UA"/>
        </w:rPr>
        <w:t xml:space="preserve">          </w:t>
      </w:r>
      <w:r>
        <w:rPr>
          <w:sz w:val="28"/>
          <w:szCs w:val="20"/>
          <w:lang w:val="uk-UA"/>
        </w:rPr>
        <w:t xml:space="preserve">                                 </w:t>
      </w:r>
      <w:r w:rsidR="00122376">
        <w:rPr>
          <w:sz w:val="28"/>
          <w:szCs w:val="20"/>
          <w:lang w:val="uk-UA"/>
        </w:rPr>
        <w:t xml:space="preserve">    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844236" w:rsidRPr="00122376" w:rsidRDefault="00844236" w:rsidP="00AE31E9">
      <w:pPr>
        <w:pStyle w:val="a3"/>
        <w:ind w:left="0"/>
        <w:jc w:val="both"/>
        <w:rPr>
          <w:sz w:val="28"/>
          <w:szCs w:val="20"/>
          <w:lang w:val="uk-UA"/>
        </w:rPr>
      </w:pPr>
    </w:p>
    <w:sectPr w:rsidR="00844236" w:rsidRPr="00122376" w:rsidSect="005A29A4">
      <w:pgSz w:w="16838" w:h="11906" w:orient="landscape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EF3" w:rsidRDefault="00237EF3" w:rsidP="00593546">
      <w:r>
        <w:separator/>
      </w:r>
    </w:p>
  </w:endnote>
  <w:endnote w:type="continuationSeparator" w:id="0">
    <w:p w:rsidR="00237EF3" w:rsidRDefault="00237EF3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EF3" w:rsidRDefault="00237EF3" w:rsidP="00593546">
      <w:r>
        <w:separator/>
      </w:r>
    </w:p>
  </w:footnote>
  <w:footnote w:type="continuationSeparator" w:id="0">
    <w:p w:rsidR="00237EF3" w:rsidRDefault="00237EF3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3251D"/>
    <w:rsid w:val="00040944"/>
    <w:rsid w:val="00062048"/>
    <w:rsid w:val="000775CE"/>
    <w:rsid w:val="00083D24"/>
    <w:rsid w:val="0009507D"/>
    <w:rsid w:val="00096BF6"/>
    <w:rsid w:val="000A195F"/>
    <w:rsid w:val="000B07DA"/>
    <w:rsid w:val="000C075D"/>
    <w:rsid w:val="000C5C18"/>
    <w:rsid w:val="000F7F51"/>
    <w:rsid w:val="001058E4"/>
    <w:rsid w:val="00106DA1"/>
    <w:rsid w:val="00122376"/>
    <w:rsid w:val="00122C3C"/>
    <w:rsid w:val="001346DB"/>
    <w:rsid w:val="00135902"/>
    <w:rsid w:val="00146283"/>
    <w:rsid w:val="001526A1"/>
    <w:rsid w:val="00161A3F"/>
    <w:rsid w:val="001A38EB"/>
    <w:rsid w:val="001A43F5"/>
    <w:rsid w:val="001A4F81"/>
    <w:rsid w:val="001D349D"/>
    <w:rsid w:val="001F4CD0"/>
    <w:rsid w:val="002016C9"/>
    <w:rsid w:val="00211825"/>
    <w:rsid w:val="00216CC7"/>
    <w:rsid w:val="002372EF"/>
    <w:rsid w:val="00237EF3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2E6EC9"/>
    <w:rsid w:val="00306E40"/>
    <w:rsid w:val="00310F4E"/>
    <w:rsid w:val="00323F90"/>
    <w:rsid w:val="00335B27"/>
    <w:rsid w:val="003552C6"/>
    <w:rsid w:val="00365038"/>
    <w:rsid w:val="00394C76"/>
    <w:rsid w:val="003B10C3"/>
    <w:rsid w:val="003D7D9D"/>
    <w:rsid w:val="003E640D"/>
    <w:rsid w:val="003F165D"/>
    <w:rsid w:val="003F3B62"/>
    <w:rsid w:val="004051AF"/>
    <w:rsid w:val="00414367"/>
    <w:rsid w:val="00425062"/>
    <w:rsid w:val="00434833"/>
    <w:rsid w:val="00437562"/>
    <w:rsid w:val="00441499"/>
    <w:rsid w:val="00450775"/>
    <w:rsid w:val="00480765"/>
    <w:rsid w:val="00482806"/>
    <w:rsid w:val="004B1920"/>
    <w:rsid w:val="004B3FF8"/>
    <w:rsid w:val="004B6ADA"/>
    <w:rsid w:val="004B7288"/>
    <w:rsid w:val="004C3C4E"/>
    <w:rsid w:val="004D1522"/>
    <w:rsid w:val="00501CB5"/>
    <w:rsid w:val="00511EC0"/>
    <w:rsid w:val="00516283"/>
    <w:rsid w:val="0051704F"/>
    <w:rsid w:val="00537A70"/>
    <w:rsid w:val="00593546"/>
    <w:rsid w:val="005A29A4"/>
    <w:rsid w:val="005A4B15"/>
    <w:rsid w:val="005C22A1"/>
    <w:rsid w:val="00621239"/>
    <w:rsid w:val="00622DCB"/>
    <w:rsid w:val="00637F5E"/>
    <w:rsid w:val="006426FD"/>
    <w:rsid w:val="00687315"/>
    <w:rsid w:val="006B7133"/>
    <w:rsid w:val="006C31FC"/>
    <w:rsid w:val="006C3A59"/>
    <w:rsid w:val="00702EA1"/>
    <w:rsid w:val="007043EA"/>
    <w:rsid w:val="00704AC7"/>
    <w:rsid w:val="00704B50"/>
    <w:rsid w:val="00721C0B"/>
    <w:rsid w:val="00727070"/>
    <w:rsid w:val="00732929"/>
    <w:rsid w:val="00734E6A"/>
    <w:rsid w:val="00741AF1"/>
    <w:rsid w:val="00747BA6"/>
    <w:rsid w:val="00776C81"/>
    <w:rsid w:val="00783B4D"/>
    <w:rsid w:val="00784B9D"/>
    <w:rsid w:val="007B00A3"/>
    <w:rsid w:val="007E22A2"/>
    <w:rsid w:val="00804C15"/>
    <w:rsid w:val="00817251"/>
    <w:rsid w:val="00834A4F"/>
    <w:rsid w:val="0083528F"/>
    <w:rsid w:val="00836C2C"/>
    <w:rsid w:val="00844236"/>
    <w:rsid w:val="00851C65"/>
    <w:rsid w:val="00854619"/>
    <w:rsid w:val="00876048"/>
    <w:rsid w:val="00876FA9"/>
    <w:rsid w:val="00880787"/>
    <w:rsid w:val="00887E20"/>
    <w:rsid w:val="00893448"/>
    <w:rsid w:val="008B78A3"/>
    <w:rsid w:val="008C16AF"/>
    <w:rsid w:val="008C3D66"/>
    <w:rsid w:val="008D730A"/>
    <w:rsid w:val="008E59EA"/>
    <w:rsid w:val="00911523"/>
    <w:rsid w:val="00911820"/>
    <w:rsid w:val="00915F7E"/>
    <w:rsid w:val="00932407"/>
    <w:rsid w:val="00934BE2"/>
    <w:rsid w:val="00937BC5"/>
    <w:rsid w:val="00946F96"/>
    <w:rsid w:val="009859EC"/>
    <w:rsid w:val="00986AAA"/>
    <w:rsid w:val="009B087F"/>
    <w:rsid w:val="009B17D6"/>
    <w:rsid w:val="009B7073"/>
    <w:rsid w:val="009C19AB"/>
    <w:rsid w:val="009C241A"/>
    <w:rsid w:val="009C5412"/>
    <w:rsid w:val="009E76A5"/>
    <w:rsid w:val="00A05AD8"/>
    <w:rsid w:val="00A11F42"/>
    <w:rsid w:val="00A223A6"/>
    <w:rsid w:val="00A25AA0"/>
    <w:rsid w:val="00A43BA8"/>
    <w:rsid w:val="00A509E3"/>
    <w:rsid w:val="00A51758"/>
    <w:rsid w:val="00A60499"/>
    <w:rsid w:val="00A81573"/>
    <w:rsid w:val="00AC2B83"/>
    <w:rsid w:val="00AE20D7"/>
    <w:rsid w:val="00AE23DC"/>
    <w:rsid w:val="00AE31E9"/>
    <w:rsid w:val="00AE3EF2"/>
    <w:rsid w:val="00B05144"/>
    <w:rsid w:val="00B14B90"/>
    <w:rsid w:val="00B15551"/>
    <w:rsid w:val="00B3248D"/>
    <w:rsid w:val="00B34E57"/>
    <w:rsid w:val="00B43E50"/>
    <w:rsid w:val="00B57865"/>
    <w:rsid w:val="00B61258"/>
    <w:rsid w:val="00B639C4"/>
    <w:rsid w:val="00B74702"/>
    <w:rsid w:val="00B90833"/>
    <w:rsid w:val="00BA19B4"/>
    <w:rsid w:val="00BB1EF3"/>
    <w:rsid w:val="00C00EBB"/>
    <w:rsid w:val="00C0189C"/>
    <w:rsid w:val="00C11DF8"/>
    <w:rsid w:val="00C14ECB"/>
    <w:rsid w:val="00C36E8E"/>
    <w:rsid w:val="00C41E2B"/>
    <w:rsid w:val="00C5238D"/>
    <w:rsid w:val="00C6650B"/>
    <w:rsid w:val="00CA1F82"/>
    <w:rsid w:val="00CC0739"/>
    <w:rsid w:val="00CC51C9"/>
    <w:rsid w:val="00CC6A12"/>
    <w:rsid w:val="00CE43C9"/>
    <w:rsid w:val="00CF25FE"/>
    <w:rsid w:val="00D023AC"/>
    <w:rsid w:val="00D042CE"/>
    <w:rsid w:val="00D147B2"/>
    <w:rsid w:val="00D160A9"/>
    <w:rsid w:val="00D257A7"/>
    <w:rsid w:val="00D45845"/>
    <w:rsid w:val="00D5018A"/>
    <w:rsid w:val="00D505F3"/>
    <w:rsid w:val="00D5456F"/>
    <w:rsid w:val="00D91697"/>
    <w:rsid w:val="00DA0CA4"/>
    <w:rsid w:val="00DA321E"/>
    <w:rsid w:val="00DD242B"/>
    <w:rsid w:val="00DE025B"/>
    <w:rsid w:val="00DF59AE"/>
    <w:rsid w:val="00E018CB"/>
    <w:rsid w:val="00E2376B"/>
    <w:rsid w:val="00E418F5"/>
    <w:rsid w:val="00E460AE"/>
    <w:rsid w:val="00E7044A"/>
    <w:rsid w:val="00E711F1"/>
    <w:rsid w:val="00E721EE"/>
    <w:rsid w:val="00E75BE2"/>
    <w:rsid w:val="00E82A2A"/>
    <w:rsid w:val="00E97D49"/>
    <w:rsid w:val="00EA014D"/>
    <w:rsid w:val="00EC1DAC"/>
    <w:rsid w:val="00ED31E8"/>
    <w:rsid w:val="00EE7674"/>
    <w:rsid w:val="00F140DF"/>
    <w:rsid w:val="00F1576C"/>
    <w:rsid w:val="00F43D88"/>
    <w:rsid w:val="00F70A43"/>
    <w:rsid w:val="00FA39A8"/>
    <w:rsid w:val="00FA7B1D"/>
    <w:rsid w:val="00FD1404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90</cp:revision>
  <cp:lastPrinted>2022-02-18T07:50:00Z</cp:lastPrinted>
  <dcterms:created xsi:type="dcterms:W3CDTF">2019-07-26T06:51:00Z</dcterms:created>
  <dcterms:modified xsi:type="dcterms:W3CDTF">2023-06-01T09:49:00Z</dcterms:modified>
</cp:coreProperties>
</file>