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E2376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16283" w:rsidRDefault="00516283" w:rsidP="0051628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16283" w:rsidRDefault="00516283" w:rsidP="0051628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283" w:rsidRDefault="00516283" w:rsidP="0051628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5A29A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26 травня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Pr="005A29A4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7270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84B9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174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80787" w:rsidRPr="005A29A4" w:rsidRDefault="00880787" w:rsidP="00880787">
      <w:pPr>
        <w:rPr>
          <w:rFonts w:eastAsia="Calibri"/>
        </w:rPr>
      </w:pPr>
    </w:p>
    <w:p w:rsidR="00D023AC" w:rsidRDefault="00D023AC" w:rsidP="00593546">
      <w:pPr>
        <w:rPr>
          <w:sz w:val="28"/>
          <w:szCs w:val="28"/>
          <w:lang w:val="uk-UA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516283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</w:t>
      </w:r>
      <w:r w:rsidR="00E018CB">
        <w:rPr>
          <w:sz w:val="28"/>
          <w:szCs w:val="28"/>
          <w:lang w:val="uk-UA"/>
        </w:rPr>
        <w:t xml:space="preserve">    </w:t>
      </w:r>
      <w:r w:rsidR="00AE31E9">
        <w:rPr>
          <w:sz w:val="28"/>
          <w:szCs w:val="28"/>
          <w:lang w:val="uk-UA"/>
        </w:rPr>
        <w:t xml:space="preserve">                                            </w:t>
      </w:r>
      <w:r w:rsidR="001223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 xml:space="preserve">двадцять </w:t>
      </w:r>
      <w:r w:rsidR="005A29A4">
        <w:rPr>
          <w:sz w:val="28"/>
          <w:szCs w:val="28"/>
          <w:lang w:val="uk-UA"/>
        </w:rPr>
        <w:t>третьої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5A29A4">
        <w:rPr>
          <w:sz w:val="28"/>
          <w:szCs w:val="28"/>
          <w:lang w:val="uk-UA"/>
        </w:rPr>
        <w:t>2</w:t>
      </w:r>
      <w:r w:rsidR="00E018CB">
        <w:rPr>
          <w:sz w:val="28"/>
          <w:szCs w:val="28"/>
          <w:lang w:val="uk-UA"/>
        </w:rPr>
        <w:t xml:space="preserve">6 </w:t>
      </w:r>
      <w:r w:rsidR="005A29A4">
        <w:rPr>
          <w:sz w:val="28"/>
          <w:szCs w:val="28"/>
          <w:lang w:val="uk-UA"/>
        </w:rPr>
        <w:t>травня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5A29A4">
        <w:rPr>
          <w:sz w:val="28"/>
          <w:szCs w:val="28"/>
          <w:lang w:val="uk-UA"/>
        </w:rPr>
        <w:t>3</w:t>
      </w:r>
      <w:r w:rsidR="00122376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 xml:space="preserve">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784B9D">
        <w:rPr>
          <w:sz w:val="28"/>
          <w:szCs w:val="28"/>
          <w:lang w:val="uk-UA"/>
        </w:rPr>
        <w:t>174</w:t>
      </w:r>
      <w:bookmarkStart w:id="0" w:name="_GoBack"/>
      <w:bookmarkEnd w:id="0"/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</w:t>
      </w:r>
      <w:r w:rsidR="005A29A4">
        <w:rPr>
          <w:sz w:val="28"/>
          <w:szCs w:val="28"/>
          <w:lang w:val="uk-UA"/>
        </w:rPr>
        <w:t>3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</w:t>
            </w:r>
            <w:proofErr w:type="spellStart"/>
            <w:r w:rsidRPr="00B56FEC">
              <w:rPr>
                <w:lang w:val="uk-UA"/>
              </w:rPr>
              <w:t>п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5A29A4">
              <w:rPr>
                <w:lang w:val="uk-UA"/>
              </w:rPr>
              <w:t>24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5A29A4">
              <w:rPr>
                <w:lang w:val="uk-UA"/>
              </w:rPr>
              <w:t>88</w:t>
            </w:r>
            <w:r w:rsidRPr="00B56FEC">
              <w:t>:</w:t>
            </w:r>
            <w:r w:rsidR="006B7133">
              <w:rPr>
                <w:lang w:val="uk-UA"/>
              </w:rPr>
              <w:t>0</w:t>
            </w:r>
            <w:r w:rsidR="00A60499">
              <w:rPr>
                <w:lang w:val="uk-UA"/>
              </w:rPr>
              <w:t>6</w:t>
            </w:r>
            <w:r w:rsidR="005A29A4">
              <w:rPr>
                <w:lang w:val="uk-UA"/>
              </w:rPr>
              <w:t>1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5A29A4">
              <w:rPr>
                <w:lang w:val="uk-UA"/>
              </w:rPr>
              <w:t>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</w:t>
            </w:r>
            <w:proofErr w:type="spellStart"/>
            <w:r w:rsidR="00844236">
              <w:rPr>
                <w:lang w:val="uk-UA"/>
              </w:rPr>
              <w:t>Козелецької</w:t>
            </w:r>
            <w:proofErr w:type="spellEnd"/>
            <w:r w:rsidR="00844236">
              <w:rPr>
                <w:lang w:val="uk-UA"/>
              </w:rPr>
              <w:t xml:space="preserve"> селищної ради </w:t>
            </w:r>
            <w:r>
              <w:rPr>
                <w:lang w:val="uk-UA"/>
              </w:rPr>
              <w:t xml:space="preserve">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5A29A4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4,4572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117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8,6675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10,8051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19,9423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152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14,7463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2086600</w:t>
            </w:r>
            <w:r w:rsidRPr="00B56FEC">
              <w:t>:</w:t>
            </w:r>
            <w:r>
              <w:rPr>
                <w:lang w:val="uk-UA"/>
              </w:rPr>
              <w:t>37</w:t>
            </w:r>
            <w:r w:rsidRPr="00B56FEC">
              <w:t>:</w:t>
            </w:r>
            <w:r>
              <w:rPr>
                <w:lang w:val="uk-UA"/>
              </w:rPr>
              <w:t>055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7,8365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019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4,4018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004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6,0000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005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5,1630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11,3765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16,6079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Default="00844236" w:rsidP="00B05144">
      <w:pPr>
        <w:ind w:right="-173"/>
        <w:rPr>
          <w:b/>
          <w:lang w:val="uk-UA"/>
        </w:rPr>
      </w:pPr>
    </w:p>
    <w:p w:rsidR="005A29A4" w:rsidRDefault="005A29A4" w:rsidP="00B05144">
      <w:pPr>
        <w:ind w:right="-173"/>
        <w:rPr>
          <w:b/>
          <w:lang w:val="uk-UA"/>
        </w:rPr>
      </w:pPr>
    </w:p>
    <w:p w:rsidR="005A29A4" w:rsidRPr="00B56FEC" w:rsidRDefault="005A29A4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E018CB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</w:t>
      </w:r>
      <w:r w:rsidR="00A25AA0">
        <w:rPr>
          <w:sz w:val="28"/>
          <w:szCs w:val="20"/>
          <w:lang w:val="uk-UA"/>
        </w:rPr>
        <w:t xml:space="preserve">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E018CB">
        <w:rPr>
          <w:sz w:val="28"/>
          <w:szCs w:val="28"/>
          <w:lang w:val="uk-UA"/>
        </w:rPr>
        <w:t>16 грудня</w:t>
      </w:r>
      <w:r w:rsidR="00122376">
        <w:rPr>
          <w:sz w:val="28"/>
          <w:szCs w:val="28"/>
          <w:lang w:val="uk-UA"/>
        </w:rPr>
        <w:t xml:space="preserve"> 2022 року </w:t>
      </w:r>
      <w:r w:rsidR="00122376">
        <w:rPr>
          <w:sz w:val="28"/>
          <w:szCs w:val="28"/>
          <w:lang w:val="uk-UA"/>
        </w:rPr>
        <w:br/>
        <w:t>№ -</w:t>
      </w:r>
      <w:r w:rsidR="00E018CB">
        <w:rPr>
          <w:sz w:val="28"/>
          <w:szCs w:val="28"/>
          <w:lang w:val="uk-UA"/>
        </w:rPr>
        <w:t>22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 xml:space="preserve">, які виставляються на земельні торги 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44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03251D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03251D">
              <w:rPr>
                <w:sz w:val="28"/>
                <w:szCs w:val="28"/>
                <w:lang w:val="uk-UA"/>
              </w:rPr>
              <w:t>24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03251D">
              <w:rPr>
                <w:sz w:val="28"/>
                <w:szCs w:val="28"/>
                <w:lang w:val="uk-UA"/>
              </w:rPr>
              <w:t>88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="0003251D">
              <w:rPr>
                <w:sz w:val="28"/>
                <w:szCs w:val="28"/>
                <w:lang w:val="uk-UA"/>
              </w:rPr>
              <w:t>1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03251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B07DA" w:rsidRPr="00B15551" w:rsidRDefault="0003251D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4.4572</w:t>
            </w:r>
          </w:p>
        </w:tc>
        <w:tc>
          <w:tcPr>
            <w:tcW w:w="1701" w:type="dxa"/>
          </w:tcPr>
          <w:p w:rsidR="000B07DA" w:rsidRPr="00450775" w:rsidRDefault="0003251D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61607,14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B14B90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7392,86</w:t>
            </w:r>
          </w:p>
        </w:tc>
        <w:tc>
          <w:tcPr>
            <w:tcW w:w="1347" w:type="dxa"/>
          </w:tcPr>
          <w:p w:rsidR="000B07DA" w:rsidRPr="00450775" w:rsidRDefault="00B14B90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73,93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7422082400:88:117:0003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8,6675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87347,65</w:t>
            </w:r>
          </w:p>
        </w:tc>
        <w:tc>
          <w:tcPr>
            <w:tcW w:w="1843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10481,72</w:t>
            </w:r>
          </w:p>
        </w:tc>
        <w:tc>
          <w:tcPr>
            <w:tcW w:w="1347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104,82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7422082400:88:145:0002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10,8051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22080,76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2649,69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26,50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</w:t>
            </w:r>
            <w:r w:rsidRPr="0016348E">
              <w:rPr>
                <w:sz w:val="28"/>
                <w:szCs w:val="28"/>
                <w:lang w:val="uk-UA"/>
              </w:rPr>
              <w:lastRenderedPageBreak/>
              <w:t xml:space="preserve">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7422082400:88:145:0003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19,9423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48052,12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5766,25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57,67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7422082400:88:152:0001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14,7463</w:t>
            </w:r>
          </w:p>
        </w:tc>
        <w:tc>
          <w:tcPr>
            <w:tcW w:w="1701" w:type="dxa"/>
          </w:tcPr>
          <w:p w:rsidR="0003251D" w:rsidRPr="00EC1DAC" w:rsidRDefault="00A509E3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162</w:t>
            </w:r>
            <w:r w:rsidR="00D257A7">
              <w:rPr>
                <w:sz w:val="28"/>
                <w:szCs w:val="20"/>
                <w:lang w:val="uk-UA"/>
              </w:rPr>
              <w:t>7</w:t>
            </w:r>
            <w:r>
              <w:rPr>
                <w:sz w:val="28"/>
                <w:szCs w:val="20"/>
                <w:lang w:val="uk-UA"/>
              </w:rPr>
              <w:t>30,26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19527,63</w:t>
            </w:r>
          </w:p>
        </w:tc>
        <w:tc>
          <w:tcPr>
            <w:tcW w:w="1347" w:type="dxa"/>
          </w:tcPr>
          <w:p w:rsidR="0003251D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195,28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7422086600:37:055:0001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7,8365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157406,57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18888,79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188,89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7422087100:41:070:0019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4,4018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95531,48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11464,78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114,65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7422087100:41:070:0004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6,0000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127067,82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15248,14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152,48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7422087100:41:070:0005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5,1630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109876,37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</w:p>
          <w:p w:rsidR="00B14B90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13185,17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131,85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lastRenderedPageBreak/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7422089100:84:158:0002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11,3765</w:t>
            </w:r>
          </w:p>
        </w:tc>
        <w:tc>
          <w:tcPr>
            <w:tcW w:w="1701" w:type="dxa"/>
          </w:tcPr>
          <w:p w:rsidR="0003251D" w:rsidRPr="00EC1DAC" w:rsidRDefault="00A509E3" w:rsidP="00A509E3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86756,63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10410,80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104,11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7422089100:84:158:0003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16,6079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155654,19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18678,5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186,79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E018CB" w:rsidP="00122376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122376">
        <w:rPr>
          <w:sz w:val="28"/>
          <w:szCs w:val="20"/>
          <w:lang w:val="uk-UA"/>
        </w:rPr>
        <w:t xml:space="preserve">                                                                          </w:t>
      </w:r>
      <w:r w:rsidR="006C31FC">
        <w:rPr>
          <w:sz w:val="28"/>
          <w:szCs w:val="20"/>
          <w:lang w:val="uk-UA"/>
        </w:rPr>
        <w:t xml:space="preserve"> </w:t>
      </w:r>
      <w:r w:rsidR="00122376">
        <w:rPr>
          <w:sz w:val="28"/>
          <w:szCs w:val="20"/>
          <w:lang w:val="uk-UA"/>
        </w:rPr>
        <w:t xml:space="preserve">          </w:t>
      </w:r>
      <w:r>
        <w:rPr>
          <w:sz w:val="28"/>
          <w:szCs w:val="20"/>
          <w:lang w:val="uk-UA"/>
        </w:rPr>
        <w:t xml:space="preserve">                                 </w:t>
      </w:r>
      <w:r w:rsidR="00122376">
        <w:rPr>
          <w:sz w:val="28"/>
          <w:szCs w:val="20"/>
          <w:lang w:val="uk-UA"/>
        </w:rPr>
        <w:t xml:space="preserve">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5A29A4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A59" w:rsidRDefault="006C3A59" w:rsidP="00593546">
      <w:r>
        <w:separator/>
      </w:r>
    </w:p>
  </w:endnote>
  <w:endnote w:type="continuationSeparator" w:id="0">
    <w:p w:rsidR="006C3A59" w:rsidRDefault="006C3A59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A59" w:rsidRDefault="006C3A59" w:rsidP="00593546">
      <w:r>
        <w:separator/>
      </w:r>
    </w:p>
  </w:footnote>
  <w:footnote w:type="continuationSeparator" w:id="0">
    <w:p w:rsidR="006C3A59" w:rsidRDefault="006C3A59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3251D"/>
    <w:rsid w:val="00040944"/>
    <w:rsid w:val="00062048"/>
    <w:rsid w:val="000775CE"/>
    <w:rsid w:val="00083D24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38EB"/>
    <w:rsid w:val="001A43F5"/>
    <w:rsid w:val="001A4F81"/>
    <w:rsid w:val="001D349D"/>
    <w:rsid w:val="001F4CD0"/>
    <w:rsid w:val="002016C9"/>
    <w:rsid w:val="00211825"/>
    <w:rsid w:val="00216CC7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2E6EC9"/>
    <w:rsid w:val="00306E40"/>
    <w:rsid w:val="00310F4E"/>
    <w:rsid w:val="00323F90"/>
    <w:rsid w:val="00335B27"/>
    <w:rsid w:val="003552C6"/>
    <w:rsid w:val="00365038"/>
    <w:rsid w:val="00394C76"/>
    <w:rsid w:val="003B10C3"/>
    <w:rsid w:val="003D7D9D"/>
    <w:rsid w:val="003E640D"/>
    <w:rsid w:val="003F165D"/>
    <w:rsid w:val="003F3B62"/>
    <w:rsid w:val="004051AF"/>
    <w:rsid w:val="00414367"/>
    <w:rsid w:val="00425062"/>
    <w:rsid w:val="00434833"/>
    <w:rsid w:val="00441499"/>
    <w:rsid w:val="00450775"/>
    <w:rsid w:val="00480765"/>
    <w:rsid w:val="00482806"/>
    <w:rsid w:val="004B1920"/>
    <w:rsid w:val="004B3FF8"/>
    <w:rsid w:val="004B6ADA"/>
    <w:rsid w:val="004B7288"/>
    <w:rsid w:val="004C3C4E"/>
    <w:rsid w:val="004D1522"/>
    <w:rsid w:val="00501CB5"/>
    <w:rsid w:val="00511EC0"/>
    <w:rsid w:val="00516283"/>
    <w:rsid w:val="0051704F"/>
    <w:rsid w:val="00537A70"/>
    <w:rsid w:val="00593546"/>
    <w:rsid w:val="005A29A4"/>
    <w:rsid w:val="005A4B15"/>
    <w:rsid w:val="005C22A1"/>
    <w:rsid w:val="00621239"/>
    <w:rsid w:val="00622DCB"/>
    <w:rsid w:val="00637F5E"/>
    <w:rsid w:val="006426FD"/>
    <w:rsid w:val="00687315"/>
    <w:rsid w:val="006B7133"/>
    <w:rsid w:val="006C31FC"/>
    <w:rsid w:val="006C3A59"/>
    <w:rsid w:val="00702EA1"/>
    <w:rsid w:val="007043EA"/>
    <w:rsid w:val="00704AC7"/>
    <w:rsid w:val="00704B50"/>
    <w:rsid w:val="00721C0B"/>
    <w:rsid w:val="00727070"/>
    <w:rsid w:val="00732929"/>
    <w:rsid w:val="00734E6A"/>
    <w:rsid w:val="00741AF1"/>
    <w:rsid w:val="00747BA6"/>
    <w:rsid w:val="00776C81"/>
    <w:rsid w:val="00783B4D"/>
    <w:rsid w:val="00784B9D"/>
    <w:rsid w:val="007B00A3"/>
    <w:rsid w:val="007E22A2"/>
    <w:rsid w:val="00804C15"/>
    <w:rsid w:val="00817251"/>
    <w:rsid w:val="00834A4F"/>
    <w:rsid w:val="0083528F"/>
    <w:rsid w:val="00836C2C"/>
    <w:rsid w:val="00844236"/>
    <w:rsid w:val="00851C65"/>
    <w:rsid w:val="00854619"/>
    <w:rsid w:val="00876048"/>
    <w:rsid w:val="00876FA9"/>
    <w:rsid w:val="00880787"/>
    <w:rsid w:val="00887E20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4BE2"/>
    <w:rsid w:val="00937BC5"/>
    <w:rsid w:val="00946F96"/>
    <w:rsid w:val="009859EC"/>
    <w:rsid w:val="00986AAA"/>
    <w:rsid w:val="009B087F"/>
    <w:rsid w:val="009B17D6"/>
    <w:rsid w:val="009B7073"/>
    <w:rsid w:val="009C19AB"/>
    <w:rsid w:val="009C241A"/>
    <w:rsid w:val="009C5412"/>
    <w:rsid w:val="009E76A5"/>
    <w:rsid w:val="00A05AD8"/>
    <w:rsid w:val="00A11F42"/>
    <w:rsid w:val="00A223A6"/>
    <w:rsid w:val="00A25AA0"/>
    <w:rsid w:val="00A43BA8"/>
    <w:rsid w:val="00A509E3"/>
    <w:rsid w:val="00A51758"/>
    <w:rsid w:val="00A60499"/>
    <w:rsid w:val="00A81573"/>
    <w:rsid w:val="00AC2B83"/>
    <w:rsid w:val="00AE20D7"/>
    <w:rsid w:val="00AE23DC"/>
    <w:rsid w:val="00AE31E9"/>
    <w:rsid w:val="00AE3EF2"/>
    <w:rsid w:val="00B05144"/>
    <w:rsid w:val="00B14B90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C00EBB"/>
    <w:rsid w:val="00C0189C"/>
    <w:rsid w:val="00C11DF8"/>
    <w:rsid w:val="00C14ECB"/>
    <w:rsid w:val="00C36E8E"/>
    <w:rsid w:val="00C41E2B"/>
    <w:rsid w:val="00C5238D"/>
    <w:rsid w:val="00C6650B"/>
    <w:rsid w:val="00CA1F82"/>
    <w:rsid w:val="00CC0739"/>
    <w:rsid w:val="00CC51C9"/>
    <w:rsid w:val="00CC6A12"/>
    <w:rsid w:val="00CE43C9"/>
    <w:rsid w:val="00CF25FE"/>
    <w:rsid w:val="00D023AC"/>
    <w:rsid w:val="00D042CE"/>
    <w:rsid w:val="00D147B2"/>
    <w:rsid w:val="00D160A9"/>
    <w:rsid w:val="00D257A7"/>
    <w:rsid w:val="00D45845"/>
    <w:rsid w:val="00D5018A"/>
    <w:rsid w:val="00D505F3"/>
    <w:rsid w:val="00D5456F"/>
    <w:rsid w:val="00D91697"/>
    <w:rsid w:val="00DA0CA4"/>
    <w:rsid w:val="00DA321E"/>
    <w:rsid w:val="00DD242B"/>
    <w:rsid w:val="00DE025B"/>
    <w:rsid w:val="00DF59AE"/>
    <w:rsid w:val="00E018CB"/>
    <w:rsid w:val="00E2376B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7674"/>
    <w:rsid w:val="00F140DF"/>
    <w:rsid w:val="00F1576C"/>
    <w:rsid w:val="00F43D88"/>
    <w:rsid w:val="00F70A43"/>
    <w:rsid w:val="00FA39A8"/>
    <w:rsid w:val="00FA7B1D"/>
    <w:rsid w:val="00FD1404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88</cp:revision>
  <cp:lastPrinted>2022-02-18T07:50:00Z</cp:lastPrinted>
  <dcterms:created xsi:type="dcterms:W3CDTF">2019-07-26T06:51:00Z</dcterms:created>
  <dcterms:modified xsi:type="dcterms:W3CDTF">2023-05-18T07:34:00Z</dcterms:modified>
</cp:coreProperties>
</file>